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FE5" w:rsidRDefault="00684FE5" w:rsidP="001D36AE"/>
    <w:tbl>
      <w:tblPr>
        <w:tblW w:w="0" w:type="auto"/>
        <w:jc w:val="center"/>
        <w:tblLayout w:type="fixed"/>
        <w:tblCellMar>
          <w:left w:w="0" w:type="dxa"/>
          <w:right w:w="0" w:type="dxa"/>
        </w:tblCellMar>
        <w:tblLook w:val="04A0" w:firstRow="1" w:lastRow="0" w:firstColumn="1" w:lastColumn="0" w:noHBand="0" w:noVBand="1"/>
      </w:tblPr>
      <w:tblGrid>
        <w:gridCol w:w="8222"/>
      </w:tblGrid>
      <w:tr w:rsidR="0018361A" w:rsidTr="009609A9">
        <w:trPr>
          <w:trHeight w:val="3975"/>
          <w:jc w:val="center"/>
        </w:trPr>
        <w:tc>
          <w:tcPr>
            <w:tcW w:w="8222" w:type="dxa"/>
            <w:vAlign w:val="bottom"/>
          </w:tcPr>
          <w:p w:rsidR="0018361A" w:rsidRPr="002E3470" w:rsidRDefault="00545703" w:rsidP="002E3470">
            <w:pPr>
              <w:pStyle w:val="Date"/>
            </w:pPr>
            <w:r>
              <w:t>July 2017</w:t>
            </w:r>
          </w:p>
        </w:tc>
      </w:tr>
      <w:tr w:rsidR="0018361A" w:rsidTr="009609A9">
        <w:trPr>
          <w:trHeight w:val="2703"/>
          <w:jc w:val="center"/>
        </w:trPr>
        <w:tc>
          <w:tcPr>
            <w:tcW w:w="8222" w:type="dxa"/>
            <w:vAlign w:val="bottom"/>
          </w:tcPr>
          <w:p w:rsidR="0018361A" w:rsidRPr="0072206C" w:rsidRDefault="001078E8" w:rsidP="009609A9">
            <w:pPr>
              <w:pStyle w:val="Title"/>
              <w:rPr>
                <w:rFonts w:eastAsia="Times New Roman"/>
              </w:rPr>
            </w:pPr>
            <w:r>
              <w:rPr>
                <w:rFonts w:eastAsia="Times New Roman"/>
              </w:rPr>
              <w:t>anchor institutions and community business – evolving and realising potential</w:t>
            </w:r>
          </w:p>
        </w:tc>
      </w:tr>
      <w:tr w:rsidR="0018361A" w:rsidTr="00041858">
        <w:trPr>
          <w:jc w:val="center"/>
        </w:trPr>
        <w:tc>
          <w:tcPr>
            <w:tcW w:w="8222" w:type="dxa"/>
            <w:vAlign w:val="bottom"/>
          </w:tcPr>
          <w:p w:rsidR="00041858" w:rsidRPr="00041858" w:rsidRDefault="00920412" w:rsidP="00041858">
            <w:pPr>
              <w:pStyle w:val="CoverText"/>
            </w:pPr>
            <w:r>
              <w:t xml:space="preserve">Proposal </w:t>
            </w:r>
            <w:r w:rsidR="00674265" w:rsidRPr="00041858">
              <w:t>by</w:t>
            </w:r>
          </w:p>
        </w:tc>
      </w:tr>
      <w:tr w:rsidR="0018361A" w:rsidTr="00041858">
        <w:trPr>
          <w:jc w:val="center"/>
        </w:trPr>
        <w:tc>
          <w:tcPr>
            <w:tcW w:w="8222" w:type="dxa"/>
            <w:vAlign w:val="bottom"/>
          </w:tcPr>
          <w:p w:rsidR="0018361A" w:rsidRDefault="00EB1BE5" w:rsidP="002F6196">
            <w:pPr>
              <w:pStyle w:val="Date"/>
            </w:pPr>
            <w:r>
              <w:t xml:space="preserve">Centre for Local Economic Strategies </w:t>
            </w:r>
          </w:p>
        </w:tc>
      </w:tr>
      <w:tr w:rsidR="0018361A" w:rsidTr="00041858">
        <w:trPr>
          <w:jc w:val="center"/>
        </w:trPr>
        <w:tc>
          <w:tcPr>
            <w:tcW w:w="8222" w:type="dxa"/>
            <w:vAlign w:val="bottom"/>
          </w:tcPr>
          <w:p w:rsidR="0018361A" w:rsidRDefault="00FA4CF9" w:rsidP="00C07DC2">
            <w:pPr>
              <w:pStyle w:val="CoverText"/>
            </w:pPr>
            <w:r>
              <w:t>Presented to</w:t>
            </w:r>
          </w:p>
        </w:tc>
      </w:tr>
      <w:tr w:rsidR="0018361A" w:rsidTr="00041858">
        <w:trPr>
          <w:jc w:val="center"/>
        </w:trPr>
        <w:tc>
          <w:tcPr>
            <w:tcW w:w="8222" w:type="dxa"/>
            <w:vAlign w:val="bottom"/>
          </w:tcPr>
          <w:p w:rsidR="0018361A" w:rsidRDefault="001078E8" w:rsidP="00041858">
            <w:pPr>
              <w:pStyle w:val="Date"/>
            </w:pPr>
            <w:r>
              <w:t>Power to C</w:t>
            </w:r>
            <w:r w:rsidR="00545703">
              <w:t>hange</w:t>
            </w:r>
            <w:r>
              <w:t xml:space="preserve"> Research Institute</w:t>
            </w:r>
          </w:p>
        </w:tc>
      </w:tr>
    </w:tbl>
    <w:p w:rsidR="0018361A" w:rsidRDefault="0018361A" w:rsidP="001D36AE"/>
    <w:p w:rsidR="003576EE" w:rsidRDefault="003576EE" w:rsidP="001D36AE">
      <w:pPr>
        <w:sectPr w:rsidR="003576EE" w:rsidSect="00E242BD">
          <w:headerReference w:type="default" r:id="rId7"/>
          <w:footerReference w:type="default" r:id="rId8"/>
          <w:pgSz w:w="11907" w:h="16839" w:code="9"/>
          <w:pgMar w:top="3402" w:right="1134" w:bottom="1134" w:left="1134" w:header="709" w:footer="709" w:gutter="0"/>
          <w:cols w:space="708"/>
          <w:docGrid w:linePitch="360"/>
        </w:sectPr>
      </w:pPr>
    </w:p>
    <w:p w:rsidR="009F070B" w:rsidRDefault="00920412" w:rsidP="00920412">
      <w:pPr>
        <w:pStyle w:val="Heading1"/>
      </w:pPr>
      <w:bookmarkStart w:id="0" w:name="_Toc243976297"/>
      <w:r>
        <w:lastRenderedPageBreak/>
        <w:t>Introduction</w:t>
      </w:r>
      <w:bookmarkEnd w:id="0"/>
    </w:p>
    <w:p w:rsidR="00D32129" w:rsidRPr="00EA40F8" w:rsidRDefault="0087653A" w:rsidP="00EA40F8">
      <w:pPr>
        <w:pStyle w:val="BodyText"/>
      </w:pPr>
      <w:r>
        <w:t xml:space="preserve">The Centre for Local Economic Strategies (CLES) is pleased to present this proposal to </w:t>
      </w:r>
      <w:r w:rsidR="001078E8">
        <w:t xml:space="preserve">the </w:t>
      </w:r>
      <w:r>
        <w:t>Power to Change</w:t>
      </w:r>
      <w:r w:rsidR="001078E8">
        <w:t xml:space="preserve"> Research Institute</w:t>
      </w:r>
      <w:r>
        <w:t xml:space="preserve">. The proposal relates to an open call from </w:t>
      </w:r>
      <w:r w:rsidR="001078E8">
        <w:t xml:space="preserve">the </w:t>
      </w:r>
      <w:r>
        <w:t>Power to Change</w:t>
      </w:r>
      <w:r w:rsidR="001078E8">
        <w:t xml:space="preserve"> Research Institute</w:t>
      </w:r>
      <w:r>
        <w:t xml:space="preserve"> for research projects that will benefit the community business s</w:t>
      </w:r>
      <w:r w:rsidR="000A2A3C">
        <w:t>ector. The proposal introduces our proposed research; the context to it; and suggested methodology, costings and timeframes. Our proposed research will look to identify the ways in which Anchor Institutions can support community businesses to evolve and realise their local economic and social potential.</w:t>
      </w:r>
    </w:p>
    <w:p w:rsidR="00920412" w:rsidRDefault="000A2A3C" w:rsidP="00920412">
      <w:pPr>
        <w:pStyle w:val="Heading1"/>
      </w:pPr>
      <w:r>
        <w:t xml:space="preserve">introducing our proposed </w:t>
      </w:r>
      <w:r w:rsidR="00602081">
        <w:t>research</w:t>
      </w:r>
      <w:r>
        <w:t xml:space="preserve"> and context</w:t>
      </w:r>
    </w:p>
    <w:p w:rsidR="00920412" w:rsidRDefault="000A2A3C" w:rsidP="00920412">
      <w:pPr>
        <w:pStyle w:val="BodyText"/>
      </w:pPr>
      <w:r>
        <w:t>Anchor Institutions are large public, commercial and social sector organisations which are important for our places. They are important because: they create and sustain lots of jobs; they spend lots of money through procurement processes and the wider provision of services; and they are unlikely to leave that place because of market forces, they are effectively rooted there. Anchor Institutions include: local authorities, NHS related organisations, universities and colleges, large commercial businesses, housing organisations, and large place specific voluntary and community sector organisations.</w:t>
      </w:r>
    </w:p>
    <w:p w:rsidR="007B6687" w:rsidRDefault="000A2A3C" w:rsidP="00920412">
      <w:pPr>
        <w:pStyle w:val="BodyText"/>
      </w:pPr>
      <w:r>
        <w:t xml:space="preserve">Despite the above importance of Anchor Institutions, the concept of realising and harnessing their wealth </w:t>
      </w:r>
      <w:r w:rsidR="007B6687">
        <w:t>in a UK context is a novel one. CLES believes that places have overly focused upon utilising relatively standard approaches to wealth attraction over the last 30 years such as inward investment and tax breaks, without fully understanding and harnessing the potential of the wealth that already exists. Anchor Institutions hold much of this wealth, with the challenge being to harness its potential for the benefit of local business and people.</w:t>
      </w:r>
    </w:p>
    <w:p w:rsidR="007B6687" w:rsidRDefault="007B6687" w:rsidP="00920412">
      <w:pPr>
        <w:pStyle w:val="BodyText"/>
      </w:pPr>
      <w:r>
        <w:t xml:space="preserve">Over the last 10 years, CLES has been at the forefront of UK and wider European thinking around realising the economic, social and environmental potential of Anchor Institutions. This includes work with Manchester City Council seeking to understand their procurement spend and subsequently </w:t>
      </w:r>
      <w:r w:rsidR="001078E8">
        <w:t xml:space="preserve">shift </w:t>
      </w:r>
      <w:r>
        <w:t>the behaviour of their procurers and supply chain. It includes work with Preston City Council and six other anchor institutions around embedding more progressive approaches to wealth realisation again through procurement processes. It includes work in Birmingham and Oldham, where we are seeking to realise the importance of anchor institution procurement spend, employment practices and asset utilisation for the local economy. And it includes work across 11 European Cities, which is looking to develop anchor institution strategies and action plans.</w:t>
      </w:r>
    </w:p>
    <w:p w:rsidR="00E70B33" w:rsidRDefault="007B6687" w:rsidP="00920412">
      <w:pPr>
        <w:pStyle w:val="BodyText"/>
      </w:pPr>
      <w:r>
        <w:t xml:space="preserve">Across all the above pieces of work we have sought to: understand </w:t>
      </w:r>
      <w:r w:rsidR="00EA7B3F">
        <w:t>where anchor institution spend goes geographically; understand the wider impact of anchor institutions through the</w:t>
      </w:r>
      <w:r w:rsidR="00E70B33">
        <w:t>ir supply chains and their own employee behaviour; shift the process of procurement</w:t>
      </w:r>
      <w:r w:rsidR="009B65D2">
        <w:t>,</w:t>
      </w:r>
      <w:r w:rsidR="00E70B33">
        <w:t xml:space="preserve"> in particular</w:t>
      </w:r>
      <w:r w:rsidR="009B65D2">
        <w:t>,</w:t>
      </w:r>
      <w:r w:rsidR="00E70B33">
        <w:t xml:space="preserve"> so that it brings greater local economic, social, and environmental benefit; promote the important role of local business and SMEs in delivering goods and services; and influence the behaviour of suppliers so that they in turn also deliver greater benefits for the places in which they are undertaking work.</w:t>
      </w:r>
      <w:r>
        <w:t xml:space="preserve"> </w:t>
      </w:r>
    </w:p>
    <w:p w:rsidR="00830EE2" w:rsidRDefault="00E70B33" w:rsidP="00920412">
      <w:pPr>
        <w:pStyle w:val="BodyText"/>
      </w:pPr>
      <w:r>
        <w:t>The work has identified that whilst there are many challenges associated wi</w:t>
      </w:r>
      <w:r w:rsidR="001078E8">
        <w:t>th harnessing the potential of Anchor I</w:t>
      </w:r>
      <w:r>
        <w:t>nstitutions for local economic, social and environmental benefit; there are also many opportunities, particularly</w:t>
      </w:r>
      <w:r w:rsidR="0087695A">
        <w:t xml:space="preserve"> when it comes to engaging SMEs</w:t>
      </w:r>
      <w:r>
        <w:t xml:space="preserve"> in procurement processes, decisions and delivery. Through our work we understand intrinsically the barriers </w:t>
      </w:r>
      <w:r w:rsidR="0087695A">
        <w:t>which SMEs face in procurement pr</w:t>
      </w:r>
      <w:r w:rsidR="009B65D2">
        <w:t>ocesses, and additionally what Anchor I</w:t>
      </w:r>
      <w:r w:rsidR="0087695A">
        <w:t xml:space="preserve">nstitutions can do </w:t>
      </w:r>
      <w:r w:rsidR="00830EE2">
        <w:t xml:space="preserve">in their processes to support SMEs to bid for and deliver more contracts. </w:t>
      </w:r>
    </w:p>
    <w:p w:rsidR="001776E8" w:rsidRDefault="00830EE2" w:rsidP="00920412">
      <w:pPr>
        <w:pStyle w:val="BodyText"/>
      </w:pPr>
      <w:r>
        <w:t xml:space="preserve">This leads us to our gap for this proposed piece of research funded through </w:t>
      </w:r>
      <w:r w:rsidR="00AA4783">
        <w:t xml:space="preserve">the </w:t>
      </w:r>
      <w:r>
        <w:t>Power to Change</w:t>
      </w:r>
      <w:r w:rsidR="00AA4783">
        <w:t xml:space="preserve"> Research Institute</w:t>
      </w:r>
      <w:r>
        <w:t xml:space="preserve">. We now know what local authorities and other </w:t>
      </w:r>
      <w:r w:rsidR="007169DF">
        <w:t>Anchor I</w:t>
      </w:r>
      <w:r w:rsidR="001776E8">
        <w:t xml:space="preserve">nstitutions are doing to shift their processes to support SMEs, but </w:t>
      </w:r>
      <w:r w:rsidR="00492B12">
        <w:t>what about community b</w:t>
      </w:r>
      <w:r w:rsidR="00D45034">
        <w:t>usinesses?</w:t>
      </w:r>
      <w:r w:rsidR="001776E8">
        <w:t xml:space="preserve"> As such our </w:t>
      </w:r>
      <w:r w:rsidR="001078E8">
        <w:t xml:space="preserve">proposed </w:t>
      </w:r>
      <w:r w:rsidR="001776E8">
        <w:t xml:space="preserve">work is framed by </w:t>
      </w:r>
      <w:proofErr w:type="gramStart"/>
      <w:r w:rsidR="001776E8">
        <w:t>a number of</w:t>
      </w:r>
      <w:proofErr w:type="gramEnd"/>
      <w:r w:rsidR="001776E8">
        <w:t xml:space="preserve"> key questions</w:t>
      </w:r>
      <w:r w:rsidR="001776E8" w:rsidRPr="001776E8">
        <w:t xml:space="preserve"> </w:t>
      </w:r>
      <w:r w:rsidR="001776E8">
        <w:t>around how Anchor Institutions can support community businesses to evolve and realise their local economic and social potential:</w:t>
      </w:r>
    </w:p>
    <w:p w:rsidR="001776E8" w:rsidRDefault="001776E8" w:rsidP="001776E8">
      <w:pPr>
        <w:pStyle w:val="ListBullet"/>
      </w:pPr>
      <w:r>
        <w:t>What support a</w:t>
      </w:r>
      <w:r w:rsidR="00F016A2">
        <w:t>re local authorities and other Anchor I</w:t>
      </w:r>
      <w:r>
        <w:t>nstitutions already providing to community business?</w:t>
      </w:r>
    </w:p>
    <w:p w:rsidR="001776E8" w:rsidRDefault="001776E8" w:rsidP="001776E8">
      <w:pPr>
        <w:pStyle w:val="ListBullet"/>
      </w:pPr>
      <w:r>
        <w:t xml:space="preserve">What </w:t>
      </w:r>
      <w:r w:rsidR="001078E8">
        <w:t xml:space="preserve">barriers and </w:t>
      </w:r>
      <w:r>
        <w:t>challenges do community business face in engaging wi</w:t>
      </w:r>
      <w:r w:rsidR="001078E8">
        <w:t>th local authorities and other Anchor I</w:t>
      </w:r>
      <w:r>
        <w:t>nstitutions?</w:t>
      </w:r>
    </w:p>
    <w:p w:rsidR="001776E8" w:rsidRDefault="001776E8" w:rsidP="001776E8">
      <w:pPr>
        <w:pStyle w:val="ListBullet"/>
      </w:pPr>
      <w:r>
        <w:t>What shou</w:t>
      </w:r>
      <w:r w:rsidR="001078E8">
        <w:t>ld local authorities and other Anchor I</w:t>
      </w:r>
      <w:r>
        <w:t xml:space="preserve">nstitutions be doing to support community business to evolve and deliver </w:t>
      </w:r>
      <w:r w:rsidR="00F016A2">
        <w:t>enhanced benefits?</w:t>
      </w:r>
    </w:p>
    <w:p w:rsidR="001776E8" w:rsidRDefault="001776E8" w:rsidP="001776E8">
      <w:pPr>
        <w:pStyle w:val="ListBullet"/>
      </w:pPr>
      <w:r>
        <w:lastRenderedPageBreak/>
        <w:t>What processes need to shift to enable greater benefit to be realised?</w:t>
      </w:r>
    </w:p>
    <w:p w:rsidR="00B532C7" w:rsidRDefault="001776E8" w:rsidP="001776E8">
      <w:pPr>
        <w:pStyle w:val="ListBullet"/>
      </w:pPr>
      <w:r>
        <w:t xml:space="preserve">What do community business need to do to realise </w:t>
      </w:r>
      <w:r w:rsidR="00B532C7">
        <w:t>the opportunities offered through engagement wi</w:t>
      </w:r>
      <w:r w:rsidR="001078E8">
        <w:t>th local authorities and other Anchor I</w:t>
      </w:r>
      <w:r w:rsidR="00B532C7">
        <w:t>nstitutions?</w:t>
      </w:r>
    </w:p>
    <w:p w:rsidR="00B532C7" w:rsidRDefault="00B532C7" w:rsidP="001776E8">
      <w:pPr>
        <w:pStyle w:val="ListBullet"/>
      </w:pPr>
      <w:r>
        <w:t>How can a more effective relationship and realisation</w:t>
      </w:r>
      <w:r w:rsidR="00F016A2">
        <w:t xml:space="preserve"> of wealth be brokered between Anchor I</w:t>
      </w:r>
      <w:r>
        <w:t>nstitutions and community business?</w:t>
      </w:r>
    </w:p>
    <w:p w:rsidR="000A2A3C" w:rsidRDefault="001776E8" w:rsidP="00B532C7">
      <w:pPr>
        <w:pStyle w:val="ListBullet"/>
        <w:numPr>
          <w:ilvl w:val="0"/>
          <w:numId w:val="0"/>
        </w:numPr>
        <w:ind w:left="720"/>
      </w:pPr>
      <w:r>
        <w:t xml:space="preserve"> </w:t>
      </w:r>
      <w:r w:rsidR="00830EE2">
        <w:t xml:space="preserve"> </w:t>
      </w:r>
      <w:r w:rsidR="007B6687">
        <w:t xml:space="preserve">  </w:t>
      </w:r>
    </w:p>
    <w:p w:rsidR="00920412" w:rsidRDefault="00B532C7" w:rsidP="00920412">
      <w:pPr>
        <w:pStyle w:val="Heading1"/>
      </w:pPr>
      <w:r>
        <w:t>METHODOLOGY</w:t>
      </w:r>
    </w:p>
    <w:p w:rsidR="00B532C7" w:rsidRDefault="001078E8" w:rsidP="00B532C7">
      <w:pPr>
        <w:pStyle w:val="BodyText"/>
      </w:pPr>
      <w:r>
        <w:t>In order to identify how Anchor I</w:t>
      </w:r>
      <w:r w:rsidR="00B532C7">
        <w:t>nstitutions can support community business to evolve and realise their potential, and answer the questions posed above, CLES propose</w:t>
      </w:r>
      <w:r w:rsidR="00263EC0">
        <w:t>s</w:t>
      </w:r>
      <w:r w:rsidR="008A3444">
        <w:t xml:space="preserve"> a </w:t>
      </w:r>
      <w:proofErr w:type="gramStart"/>
      <w:r w:rsidR="008A3444">
        <w:t>four</w:t>
      </w:r>
      <w:r w:rsidR="00B532C7">
        <w:t xml:space="preserve"> stage</w:t>
      </w:r>
      <w:proofErr w:type="gramEnd"/>
      <w:r w:rsidR="00B532C7">
        <w:t xml:space="preserve"> methodology. </w:t>
      </w:r>
    </w:p>
    <w:p w:rsidR="00B532C7" w:rsidRDefault="00CE7C83" w:rsidP="00CE7C83">
      <w:pPr>
        <w:pStyle w:val="Heading2"/>
      </w:pPr>
      <w:r>
        <w:t>Stage 1 – policy and literature review</w:t>
      </w:r>
    </w:p>
    <w:p w:rsidR="00CE7C83" w:rsidRPr="00CE7C83" w:rsidRDefault="00CE7C83" w:rsidP="00CE7C83">
      <w:pPr>
        <w:pStyle w:val="BodyText"/>
      </w:pPr>
      <w:r>
        <w:t xml:space="preserve">The first stage of the work will be </w:t>
      </w:r>
      <w:r w:rsidR="00263EC0">
        <w:t>a policy and literature review. The review will seek to ident</w:t>
      </w:r>
      <w:r w:rsidR="001078E8">
        <w:t>ify the key potential roles of Anchor I</w:t>
      </w:r>
      <w:r w:rsidR="00263EC0">
        <w:t xml:space="preserve">nstitutions </w:t>
      </w:r>
      <w:r w:rsidR="00121A50">
        <w:t>in supporting community business to evolve and realise their potential. The review will explore both policy and legislative focused literature, academic literature, a</w:t>
      </w:r>
      <w:r w:rsidR="001078E8">
        <w:t>nd case studies on the role of Anchor I</w:t>
      </w:r>
      <w:r w:rsidR="00121A50">
        <w:t xml:space="preserve">nstitutions in harnessing wealth from across Europe and Internationally. The roles explored are likely to include: through the process of procurement; through business support activities; through linkages into community development and engagement activities; and through grant programmes (and many more). </w:t>
      </w:r>
      <w:r w:rsidR="0073648C">
        <w:t xml:space="preserve">It will also </w:t>
      </w:r>
      <w:r w:rsidR="008A3444">
        <w:t xml:space="preserve">identify common barriers </w:t>
      </w:r>
      <w:r w:rsidR="001078E8">
        <w:t>and challenges associated with Anchor I</w:t>
      </w:r>
      <w:r w:rsidR="008A3444">
        <w:t xml:space="preserve">nstitutions engaging with community business and vice versa. </w:t>
      </w:r>
      <w:r w:rsidR="00121A50">
        <w:t xml:space="preserve"> </w:t>
      </w:r>
      <w:r w:rsidR="00263EC0">
        <w:t xml:space="preserve"> </w:t>
      </w:r>
    </w:p>
    <w:p w:rsidR="00920412" w:rsidRDefault="008A3444" w:rsidP="008A3444">
      <w:pPr>
        <w:pStyle w:val="Heading2"/>
      </w:pPr>
      <w:r>
        <w:t>Stage 2 – primary research work in three localities</w:t>
      </w:r>
    </w:p>
    <w:p w:rsidR="00453CDB" w:rsidRDefault="008A3444" w:rsidP="008A3444">
      <w:pPr>
        <w:pStyle w:val="BodyText"/>
      </w:pPr>
      <w:r>
        <w:t xml:space="preserve">The second stage of the work will be to undertake primary research work in three localities in England. </w:t>
      </w:r>
      <w:r w:rsidR="00E617EB">
        <w:t xml:space="preserve">This work will look to utilise the common roles and barriers and challenges identified through the policy and literature review and test them with </w:t>
      </w:r>
      <w:r w:rsidR="00322D9C">
        <w:t xml:space="preserve">both </w:t>
      </w:r>
      <w:r w:rsidR="001078E8">
        <w:t>Anchor I</w:t>
      </w:r>
      <w:r w:rsidR="00322D9C">
        <w:t>nstitutions and community business in each of the three localities.</w:t>
      </w:r>
      <w:r w:rsidR="00E617EB">
        <w:t xml:space="preserve"> </w:t>
      </w:r>
      <w:r w:rsidR="00121345">
        <w:t xml:space="preserve">To select these localities, we will draw on evidence from stage 1, our previous work, </w:t>
      </w:r>
      <w:proofErr w:type="gramStart"/>
      <w:r w:rsidR="00121345">
        <w:t>and also</w:t>
      </w:r>
      <w:proofErr w:type="gramEnd"/>
      <w:r w:rsidR="00121345">
        <w:t xml:space="preserve"> engage with </w:t>
      </w:r>
      <w:r w:rsidR="00CC2596">
        <w:t xml:space="preserve">the </w:t>
      </w:r>
      <w:r w:rsidR="00121345">
        <w:t xml:space="preserve">Power to Change </w:t>
      </w:r>
      <w:r w:rsidR="00CC2596">
        <w:t xml:space="preserve">Research Institute </w:t>
      </w:r>
      <w:r w:rsidR="00121345">
        <w:t xml:space="preserve">and our wider networks. </w:t>
      </w:r>
    </w:p>
    <w:p w:rsidR="00453CDB" w:rsidRDefault="001078E8" w:rsidP="008A3444">
      <w:pPr>
        <w:pStyle w:val="BodyText"/>
      </w:pPr>
      <w:r>
        <w:t>In this we will engage with Anchor I</w:t>
      </w:r>
      <w:r w:rsidR="00D45034">
        <w:t xml:space="preserve">nstitutions such as local authorities, universities and large commercial business in each locality and test the extent to which they are fulfilling the identified roles, identify other potential roles, identify examples of practice in </w:t>
      </w:r>
      <w:r>
        <w:t>relation to engagement between Anchor I</w:t>
      </w:r>
      <w:r w:rsidR="00D45034">
        <w:t>nstitutions and communit</w:t>
      </w:r>
      <w:r w:rsidR="003B5AC5">
        <w:t>y business, and identify recommendations for evolving the relationship in the future.</w:t>
      </w:r>
    </w:p>
    <w:p w:rsidR="002D2F8C" w:rsidRDefault="00453CDB" w:rsidP="008A3444">
      <w:pPr>
        <w:pStyle w:val="BodyText"/>
      </w:pPr>
      <w:r>
        <w:t>We will also engage with existing community business in each of the three localities</w:t>
      </w:r>
      <w:r w:rsidR="002D2F8C">
        <w:t xml:space="preserve"> to test the extent to which the common barriers and challenges</w:t>
      </w:r>
      <w:r w:rsidR="001078E8">
        <w:t xml:space="preserve"> associated with engaging with Anchor I</w:t>
      </w:r>
      <w:r w:rsidR="002D2F8C">
        <w:t>nstitutions are applicable and to identify solutions to overcoming those barriers, which will effectively be recommendations.</w:t>
      </w:r>
      <w:r w:rsidR="00332EE8">
        <w:t xml:space="preserve"> We will look to engage with different types of community business in different parts of each locality, including those based in deprived neighbourhoods. </w:t>
      </w:r>
    </w:p>
    <w:p w:rsidR="002D2F8C" w:rsidRDefault="002D2F8C" w:rsidP="002D2F8C">
      <w:pPr>
        <w:pStyle w:val="Heading2"/>
      </w:pPr>
      <w:r>
        <w:t>Stage 3 – wider stakeholder engagement</w:t>
      </w:r>
    </w:p>
    <w:p w:rsidR="00CC4B6B" w:rsidRDefault="002D2F8C" w:rsidP="002D2F8C">
      <w:pPr>
        <w:pStyle w:val="BodyText"/>
      </w:pPr>
      <w:r>
        <w:t>The outcome of stages 1 and 2 will effectively be a set of recommendations fo</w:t>
      </w:r>
      <w:r w:rsidR="001078E8">
        <w:t>r how the relationship between Anchor I</w:t>
      </w:r>
      <w:r>
        <w:t xml:space="preserve">nstitutions and community business can evolve moving forward </w:t>
      </w:r>
      <w:proofErr w:type="gramStart"/>
      <w:r>
        <w:t>in order to</w:t>
      </w:r>
      <w:proofErr w:type="gramEnd"/>
      <w:r>
        <w:t xml:space="preserve"> harness wealth and realise the potential of community business. In this stage of the work we will look to further explore these recommendations with a range of wider stakeholders. The focus of these conversations will be upon exploring how the recommendations can become a reality in legislative, policy and practice terms; and will also look to hone the recommendations.</w:t>
      </w:r>
      <w:r w:rsidR="00332EE8">
        <w:t xml:space="preserve"> The recommendations may be around commissioning and procurement policy, or around business policy, for example.</w:t>
      </w:r>
      <w:r>
        <w:t xml:space="preserve"> The wider stakeholder engagement will be undertaken with Government Departments, Power to Change, and representative bodies associate</w:t>
      </w:r>
      <w:r w:rsidR="001078E8">
        <w:t>d with different types of Anchor I</w:t>
      </w:r>
      <w:r>
        <w:t xml:space="preserve">nstitutions and community business.  </w:t>
      </w:r>
      <w:r w:rsidR="00453CDB">
        <w:t xml:space="preserve"> </w:t>
      </w:r>
    </w:p>
    <w:p w:rsidR="00CC4B6B" w:rsidRDefault="00CC4B6B" w:rsidP="00CC4B6B">
      <w:pPr>
        <w:pStyle w:val="Heading2"/>
      </w:pPr>
      <w:r>
        <w:t>Stage 4 – reporting and workshops</w:t>
      </w:r>
    </w:p>
    <w:p w:rsidR="00CC4B6B" w:rsidRDefault="00CC4B6B" w:rsidP="00CC4B6B">
      <w:pPr>
        <w:pStyle w:val="BodyText"/>
      </w:pPr>
      <w:r>
        <w:t>The final aspect of the work will be to produce a report and to facilitate workshops. The report will reflect on the findings of each of the stages of the work described above, and will also include infographics as to how the recommendations can be practically implemented in places to realise more e</w:t>
      </w:r>
      <w:r w:rsidR="001078E8">
        <w:t>ffective relationships between Anchor I</w:t>
      </w:r>
      <w:r>
        <w:t xml:space="preserve">nstitutions and community business. The report will be written in a publication style which can then be disseminated through the CLES network which includes over </w:t>
      </w:r>
      <w:r>
        <w:lastRenderedPageBreak/>
        <w:t>15,000 contacts and through Power to Change and other channels.</w:t>
      </w:r>
      <w:r w:rsidR="00292E98">
        <w:t xml:space="preserve"> We will also produce various outputs at difference stages of the methodology. </w:t>
      </w:r>
    </w:p>
    <w:p w:rsidR="008A3444" w:rsidRPr="008A3444" w:rsidRDefault="00CC4B6B" w:rsidP="00CC4B6B">
      <w:pPr>
        <w:pStyle w:val="BodyText"/>
      </w:pPr>
      <w:r>
        <w:t xml:space="preserve">In each of the three localities from stage 2, CLES </w:t>
      </w:r>
      <w:r w:rsidR="00A63EC3">
        <w:t>will also look to facilitate a wor</w:t>
      </w:r>
      <w:r w:rsidR="001078E8">
        <w:t>kshop which brings together Anchor I</w:t>
      </w:r>
      <w:r w:rsidR="00A63EC3">
        <w:t xml:space="preserve">nstitutions and community business. The purpose of these workshops will be to foster relationships and to commence the process of embedding and implementing the recommendations. Working with Power to Change, CLES will also arrange a launch event for the publication which will be for the national level and representative level stakeholders which </w:t>
      </w:r>
      <w:r w:rsidR="007E66E3">
        <w:t xml:space="preserve">we </w:t>
      </w:r>
      <w:r w:rsidR="00A63EC3">
        <w:t>engaged with in stage 3. This will focus upon launching the policy focussed recommendations.</w:t>
      </w:r>
      <w:r w:rsidR="003B5AC5">
        <w:t xml:space="preserve"> </w:t>
      </w:r>
      <w:r w:rsidR="00AC1C45">
        <w:t xml:space="preserve">We will also engage in other collaborative events as appropriate. </w:t>
      </w:r>
    </w:p>
    <w:p w:rsidR="00920412" w:rsidRDefault="00A63EC3" w:rsidP="00920412">
      <w:pPr>
        <w:pStyle w:val="Heading1"/>
      </w:pPr>
      <w:r>
        <w:t>why cles and our team</w:t>
      </w:r>
    </w:p>
    <w:p w:rsidR="00A63EC3" w:rsidRDefault="00A63EC3" w:rsidP="00A63EC3">
      <w:pPr>
        <w:pStyle w:val="BodyText"/>
      </w:pPr>
      <w:r>
        <w:t xml:space="preserve">The Centre for Local Economic Strategies (CLES) is the UK’s leading think-tank and research organisation for progressive economics for people and place. Over the last 30 years, we have undertaken an array of research and advisory activities which have sought to enable places to harness and realise their local economic, social and environmental potential. </w:t>
      </w:r>
      <w:r w:rsidR="001078E8">
        <w:t xml:space="preserve">Over the last 10 years </w:t>
      </w:r>
      <w:proofErr w:type="gramStart"/>
      <w:r w:rsidR="001078E8">
        <w:t xml:space="preserve">in </w:t>
      </w:r>
      <w:r w:rsidR="00B52A21">
        <w:t>particular, we</w:t>
      </w:r>
      <w:proofErr w:type="gramEnd"/>
      <w:r w:rsidR="00B52A21">
        <w:t xml:space="preserve"> have worked in a number of localities with Anchor Institutions to support them to deliver better outcomes for their local economies and communities. This includes our significant body of work around procurement and progressing policy and practice so that places understand their procurement spend and subsequently that a more diverse supplier base is utilised. </w:t>
      </w:r>
    </w:p>
    <w:p w:rsidR="00B35A96" w:rsidRDefault="00B52A21" w:rsidP="00A63EC3">
      <w:pPr>
        <w:pStyle w:val="BodyText"/>
      </w:pPr>
      <w:r>
        <w:t xml:space="preserve">As already detailed, CLES is at the forefront of UK based thinking and practice around community wealth building, anchor institutions and progressive procurement. Specifically, we have been working with Manchester City Council </w:t>
      </w:r>
      <w:r w:rsidR="005D19BC">
        <w:t xml:space="preserve">for the last 10 years to understand their procurement spend, shift the behaviour of their procurement team, and influence the behaviour of their supply chain so that more local economic, social, and environmental benefit is achieved through </w:t>
      </w:r>
      <w:r w:rsidR="007E66E3">
        <w:t>the process. In terms of wider Anchor I</w:t>
      </w:r>
      <w:r w:rsidR="005D19BC">
        <w:t>nstitution work</w:t>
      </w:r>
      <w:r w:rsidR="002478C2">
        <w:t xml:space="preserve">, CLES is currently working in Preston, Birmingham, and Oldham to seek to influence </w:t>
      </w:r>
      <w:r w:rsidR="00B35A96">
        <w:t xml:space="preserve">anchor institution </w:t>
      </w:r>
      <w:r w:rsidR="002478C2">
        <w:t>behaviour around procurement</w:t>
      </w:r>
      <w:r w:rsidR="00B35A96">
        <w:t>, recruitment, and asset utilisation. Through all these pieces of work we inherently understand the barriers and challenges facing different types of organisations</w:t>
      </w:r>
      <w:r w:rsidR="002478C2">
        <w:t xml:space="preserve"> </w:t>
      </w:r>
      <w:r w:rsidR="00B35A96">
        <w:t>and the solutions which enable wealth to be harnessed and realised.</w:t>
      </w:r>
    </w:p>
    <w:p w:rsidR="00B52A21" w:rsidRPr="00A63EC3" w:rsidRDefault="00B35A96" w:rsidP="00A63EC3">
      <w:pPr>
        <w:pStyle w:val="BodyText"/>
      </w:pPr>
      <w:r>
        <w:t>In addition, CLES is the forefron</w:t>
      </w:r>
      <w:r w:rsidR="001078E8">
        <w:t>t of work across Europe around Anchor I</w:t>
      </w:r>
      <w:r>
        <w:t>nstitutions. The CLES Deputy Chief Executive, Matthew Jackson, is currently supporting 11 cities acr</w:t>
      </w:r>
      <w:r w:rsidR="001078E8">
        <w:t>oss 8 EU member states</w:t>
      </w:r>
      <w:r w:rsidR="00492B12">
        <w:t xml:space="preserve"> to</w:t>
      </w:r>
      <w:r w:rsidR="001078E8">
        <w:t xml:space="preserve"> develop Anchor I</w:t>
      </w:r>
      <w:r>
        <w:t xml:space="preserve">nstitution focused action plans. </w:t>
      </w:r>
      <w:r w:rsidR="00492B12">
        <w:t>In addition, h</w:t>
      </w:r>
      <w:r>
        <w:t>e is an advisor into the EU Urban Agenda Partnership on Innovative and Responsible Public Procurement.  CLES also works closely with a range of different organisations at the local level who should in the</w:t>
      </w:r>
      <w:r w:rsidR="001078E8">
        <w:t>ory benefit from the wealth of Anchor I</w:t>
      </w:r>
      <w:r>
        <w:t>nstitutions. This includes: SME</w:t>
      </w:r>
      <w:r w:rsidR="00585C46">
        <w:t xml:space="preserve">s, voluntary and community sector organisations, social enterprises, and cooperatives. Historically, CLES has also undertaken work with Community Anchor Institutions across the North West of England seeking to ensure they link effectively </w:t>
      </w:r>
      <w:r w:rsidR="00B66F32">
        <w:t>to local authorities and other Anchor I</w:t>
      </w:r>
      <w:r w:rsidR="00585C46">
        <w:t>nstitutions.</w:t>
      </w:r>
      <w:r w:rsidR="00A9026A">
        <w:t xml:space="preserve"> Recently, CLES in conjunction with Cooperatives UK and the New Economics Foundation have been awarded a contract by Power to Change to provide capacity building support to community business</w:t>
      </w:r>
      <w:r w:rsidR="001E4870">
        <w:t>.</w:t>
      </w:r>
      <w:r w:rsidR="00A9026A">
        <w:t xml:space="preserve"> </w:t>
      </w:r>
      <w:r w:rsidR="00585C46">
        <w:t xml:space="preserve"> </w:t>
      </w:r>
      <w:r w:rsidR="005D19BC">
        <w:t xml:space="preserve"> </w:t>
      </w:r>
    </w:p>
    <w:p w:rsidR="000115D4" w:rsidRDefault="001A0381" w:rsidP="00920412">
      <w:pPr>
        <w:pStyle w:val="BodyText"/>
      </w:pPr>
      <w:r>
        <w:t xml:space="preserve">The CLES team which will work on this research will be </w:t>
      </w:r>
      <w:r w:rsidR="00A9026A">
        <w:t>led jointly by the CLES Chief Executive Neil McInroy and the CLES Deputy Chief Executive, Matthew Jackson. Neil has worked in the fields of local economic development and public policy for over 20 years and strategically oversees and delivers the activities of CLES including our growing work in Australasia. Matthew has worked for CLES for over 12 years and head</w:t>
      </w:r>
      <w:r w:rsidR="001E4870">
        <w:t>s up the organisations work on Community Wealth B</w:t>
      </w:r>
      <w:r w:rsidR="00A9026A">
        <w:t>uilding and</w:t>
      </w:r>
      <w:r w:rsidR="001E4870">
        <w:t xml:space="preserve"> Anchor I</w:t>
      </w:r>
      <w:r w:rsidR="00A9026A">
        <w:t>nstitutions including our work across Europe through the URBACT III programme and as part of the wider EU Urban Agenda. Neil and Matthew will work with CLES Researcher, Matthew Todd to realise the outcomes for this work. Matthew has been heavily involved in CLES’ work around procurement in Manchester and other localities. Some examples of recent work undertaken by CLES</w:t>
      </w:r>
      <w:r w:rsidR="000115D4">
        <w:t xml:space="preserve"> and Neil, Matthew, and Matthew</w:t>
      </w:r>
      <w:r w:rsidR="00A9026A">
        <w:t xml:space="preserve"> which is relevant to thi</w:t>
      </w:r>
      <w:r w:rsidR="000115D4">
        <w:t>s work are highlighted below:</w:t>
      </w:r>
    </w:p>
    <w:p w:rsidR="00F24078" w:rsidRDefault="00F24078" w:rsidP="00F24078">
      <w:pPr>
        <w:pStyle w:val="ListBullet"/>
      </w:pPr>
      <w:r>
        <w:t xml:space="preserve">Jackson, M. and McInroy, N. (2017) Progressing community wealth building through anchor institutions. CLES, Manchester </w:t>
      </w:r>
      <w:hyperlink r:id="rId9" w:history="1">
        <w:r w:rsidRPr="00C644FB">
          <w:rPr>
            <w:rStyle w:val="Hyperlink"/>
          </w:rPr>
          <w:t>https://cles.org.uk/wp-content/uploads/2017/02/Community-Wealth-Building-through-Anchor-Institutions_01_02_17.pdf</w:t>
        </w:r>
      </w:hyperlink>
      <w:r>
        <w:t xml:space="preserve"> </w:t>
      </w:r>
    </w:p>
    <w:p w:rsidR="00F24078" w:rsidRDefault="00F24078" w:rsidP="00F24078">
      <w:pPr>
        <w:pStyle w:val="ListBullet"/>
      </w:pPr>
      <w:r>
        <w:t xml:space="preserve">Jackson, M. (2017) The power of procurement 2 – the policy and practice of Manchester City Council: 10 years on. CLES, Manchester </w:t>
      </w:r>
      <w:hyperlink r:id="rId10" w:history="1">
        <w:r w:rsidRPr="00C644FB">
          <w:rPr>
            <w:rStyle w:val="Hyperlink"/>
          </w:rPr>
          <w:t>https://cles.org.uk/wp-content/uploads/2017/02/The-Power-of-Procurement-II-the-policy-and-practice-of-Manchester-City-Council-10-years-on_web-version.pdf</w:t>
        </w:r>
      </w:hyperlink>
      <w:r>
        <w:t xml:space="preserve"> </w:t>
      </w:r>
    </w:p>
    <w:p w:rsidR="00F24078" w:rsidRDefault="00F24078" w:rsidP="00F24078">
      <w:pPr>
        <w:pStyle w:val="ListBullet"/>
      </w:pPr>
      <w:r>
        <w:lastRenderedPageBreak/>
        <w:t xml:space="preserve">Centre for Local Economic Strategies (2017) What needs to be done: the manifesto for local economies. CLES, Manchester </w:t>
      </w:r>
      <w:hyperlink r:id="rId11" w:history="1">
        <w:r w:rsidRPr="00C644FB">
          <w:rPr>
            <w:rStyle w:val="Hyperlink"/>
          </w:rPr>
          <w:t>https://cles.org.uk/wp-content/uploads/2017/05/What-Needs-to-be-Done_The-Manifesto-for-Local-Economics.pdf</w:t>
        </w:r>
      </w:hyperlink>
      <w:r>
        <w:t xml:space="preserve"> </w:t>
      </w:r>
    </w:p>
    <w:p w:rsidR="00F24078" w:rsidRDefault="00F24078" w:rsidP="00F24078">
      <w:pPr>
        <w:pStyle w:val="ListBullet"/>
      </w:pPr>
      <w:r>
        <w:t xml:space="preserve">Centre for Local Economic Strategies and New Economics Foundation (2016) Creating Good City Economies in the UK. CLES, Manchester </w:t>
      </w:r>
      <w:hyperlink r:id="rId12" w:history="1">
        <w:r w:rsidRPr="00C644FB">
          <w:rPr>
            <w:rStyle w:val="Hyperlink"/>
          </w:rPr>
          <w:t>https://cles.org.uk/wp-content/uploads/2016/12/Good-City-Economies-Report.pdf</w:t>
        </w:r>
      </w:hyperlink>
      <w:r>
        <w:t xml:space="preserve"> </w:t>
      </w:r>
    </w:p>
    <w:p w:rsidR="00F24078" w:rsidRDefault="00F24078" w:rsidP="00F24078">
      <w:pPr>
        <w:pStyle w:val="ListBullet"/>
      </w:pPr>
      <w:r>
        <w:t xml:space="preserve">McInroy, N. (2016) Forging a good local society. CLES, Manchester </w:t>
      </w:r>
      <w:hyperlink r:id="rId13" w:history="1">
        <w:r w:rsidRPr="00C644FB">
          <w:rPr>
            <w:rStyle w:val="Hyperlink"/>
          </w:rPr>
          <w:t>https://cles.org.uk/wp-content/uploads/2016/10/Forging-a-good-local-society3.pdf</w:t>
        </w:r>
      </w:hyperlink>
      <w:r>
        <w:t xml:space="preserve">  </w:t>
      </w:r>
    </w:p>
    <w:p w:rsidR="00F24078" w:rsidRDefault="00F24078" w:rsidP="00F24078">
      <w:pPr>
        <w:pStyle w:val="ListBullet"/>
        <w:rPr>
          <w:color w:val="000000"/>
        </w:rPr>
      </w:pPr>
      <w:r>
        <w:rPr>
          <w:color w:val="000000"/>
        </w:rPr>
        <w:t>URBACT – representation of URBACT on EU Urban Partnership on Innovative and Responsible Procurement</w:t>
      </w:r>
    </w:p>
    <w:p w:rsidR="00F24078" w:rsidRDefault="00F24078" w:rsidP="00F24078">
      <w:pPr>
        <w:pStyle w:val="ListBullet"/>
        <w:rPr>
          <w:color w:val="000000"/>
        </w:rPr>
      </w:pPr>
      <w:r>
        <w:rPr>
          <w:color w:val="000000"/>
        </w:rPr>
        <w:t>Salford CVS – evaluation of Third Sector Fund Grants Programme</w:t>
      </w:r>
    </w:p>
    <w:p w:rsidR="00F24078" w:rsidRDefault="00F24078" w:rsidP="00F24078">
      <w:pPr>
        <w:pStyle w:val="ListBullet"/>
        <w:rPr>
          <w:color w:val="000000"/>
        </w:rPr>
      </w:pPr>
      <w:r>
        <w:rPr>
          <w:color w:val="000000"/>
        </w:rPr>
        <w:t>Greater Manchester Housing Providers – procurement and social value work</w:t>
      </w:r>
    </w:p>
    <w:p w:rsidR="00F24078" w:rsidRDefault="00F24078" w:rsidP="00F24078">
      <w:pPr>
        <w:pStyle w:val="ListBullet"/>
        <w:rPr>
          <w:color w:val="000000"/>
        </w:rPr>
      </w:pPr>
      <w:r>
        <w:rPr>
          <w:color w:val="000000"/>
        </w:rPr>
        <w:t>Manchester City Council – continuation of work around procurement and local economic development</w:t>
      </w:r>
    </w:p>
    <w:p w:rsidR="00F24078" w:rsidRDefault="00F24078" w:rsidP="00F24078">
      <w:pPr>
        <w:pStyle w:val="ListBullet"/>
        <w:rPr>
          <w:color w:val="000000"/>
        </w:rPr>
      </w:pPr>
      <w:r>
        <w:rPr>
          <w:color w:val="000000"/>
        </w:rPr>
        <w:t>Barrow Cadbury Trust – Progressing local economies: auctioning the role of anchor institutions</w:t>
      </w:r>
    </w:p>
    <w:p w:rsidR="00F24078" w:rsidRDefault="00F24078" w:rsidP="00602081">
      <w:pPr>
        <w:pStyle w:val="ListBullet"/>
      </w:pPr>
      <w:r>
        <w:t>URBACT III – Lead expert for phase 2 of the Procure network</w:t>
      </w:r>
      <w:r w:rsidR="00602081">
        <w:t xml:space="preserve"> </w:t>
      </w:r>
      <w:hyperlink r:id="rId14" w:history="1">
        <w:r w:rsidR="00602081" w:rsidRPr="00C644FB">
          <w:rPr>
            <w:rStyle w:val="Hyperlink"/>
          </w:rPr>
          <w:t>http://urbact.eu/procure</w:t>
        </w:r>
      </w:hyperlink>
      <w:r w:rsidR="00602081">
        <w:rPr>
          <w:color w:val="000000"/>
        </w:rPr>
        <w:t xml:space="preserve"> </w:t>
      </w:r>
    </w:p>
    <w:p w:rsidR="00A67D23" w:rsidRDefault="00F24078" w:rsidP="00602081">
      <w:pPr>
        <w:pStyle w:val="ListBullet"/>
        <w:rPr>
          <w:color w:val="000000"/>
        </w:rPr>
      </w:pPr>
      <w:r>
        <w:rPr>
          <w:color w:val="000000"/>
        </w:rPr>
        <w:t>Preston City Council – Democratising wealth in Preston (follow up work around business citizenship)</w:t>
      </w:r>
    </w:p>
    <w:p w:rsidR="00602081" w:rsidRPr="00602081" w:rsidRDefault="00602081" w:rsidP="00602081">
      <w:pPr>
        <w:pStyle w:val="ListBullet"/>
        <w:numPr>
          <w:ilvl w:val="0"/>
          <w:numId w:val="0"/>
        </w:numPr>
        <w:ind w:left="1304"/>
        <w:rPr>
          <w:color w:val="000000"/>
        </w:rPr>
      </w:pPr>
    </w:p>
    <w:p w:rsidR="00920412" w:rsidRDefault="00197C2A" w:rsidP="00920412">
      <w:pPr>
        <w:pStyle w:val="Heading1"/>
      </w:pPr>
      <w:bookmarkStart w:id="1" w:name="_GoBack"/>
      <w:bookmarkEnd w:id="1"/>
      <w:r>
        <w:t>summary and key considerations</w:t>
      </w:r>
    </w:p>
    <w:p w:rsidR="00197C2A" w:rsidRDefault="00197C2A" w:rsidP="00197C2A">
      <w:pPr>
        <w:pStyle w:val="BodyText"/>
      </w:pPr>
      <w:r>
        <w:t xml:space="preserve">This </w:t>
      </w:r>
      <w:r w:rsidR="001E4870">
        <w:t>document</w:t>
      </w:r>
      <w:r>
        <w:t xml:space="preserve"> sets out a proposal from CLES to undertake research exploring ways in which Anchor Institutions can support community businesses to evolve and realise their local economic and social potential. Below we outline the key considerations which have informed the development of the proposal in relation to the requirements of the brief.</w:t>
      </w:r>
    </w:p>
    <w:p w:rsidR="00197C2A" w:rsidRDefault="00641E4E" w:rsidP="00641E4E">
      <w:pPr>
        <w:pStyle w:val="Heading4"/>
      </w:pPr>
      <w:r>
        <w:t>A clear gap</w:t>
      </w:r>
    </w:p>
    <w:p w:rsidR="00641E4E" w:rsidRDefault="00641E4E" w:rsidP="00641E4E">
      <w:pPr>
        <w:pStyle w:val="BodyText"/>
      </w:pPr>
      <w:r>
        <w:t>CLES has undertaken a variety of pieces of work around Anchor Institutions and procurement and particularly the relationship with SMEs. However, research has not been undertaken around the role of Anchor Institutions in supporting community business to evolve and realise their potential.</w:t>
      </w:r>
    </w:p>
    <w:p w:rsidR="00641E4E" w:rsidRDefault="00641E4E" w:rsidP="00641E4E">
      <w:pPr>
        <w:pStyle w:val="Heading4"/>
      </w:pPr>
      <w:r>
        <w:t>Benefit community business sector</w:t>
      </w:r>
    </w:p>
    <w:p w:rsidR="00641E4E" w:rsidRDefault="00641E4E" w:rsidP="00641E4E">
      <w:pPr>
        <w:pStyle w:val="BodyText"/>
      </w:pPr>
      <w:r>
        <w:t xml:space="preserve">Whilst this work will be undertaken in three case study localities, it will benefit the wider community business sector </w:t>
      </w:r>
      <w:r w:rsidR="00492B12">
        <w:t>as</w:t>
      </w:r>
      <w:r>
        <w:t xml:space="preserve"> many of the roles, barriers, challenges and recommendations will be transferrable. The work with wider stakeholders will also promote the importance of the community business sector.</w:t>
      </w:r>
    </w:p>
    <w:p w:rsidR="00641E4E" w:rsidRDefault="00641E4E" w:rsidP="00641E4E">
      <w:pPr>
        <w:pStyle w:val="Heading4"/>
      </w:pPr>
      <w:r>
        <w:t>Quality and contributory</w:t>
      </w:r>
    </w:p>
    <w:p w:rsidR="00641E4E" w:rsidRDefault="00641E4E" w:rsidP="00641E4E">
      <w:pPr>
        <w:pStyle w:val="BodyText"/>
      </w:pPr>
      <w:r>
        <w:t>CLES only undertakes work which it is interested in and which adds value to existing research. Our work around Anchor Institutions is pioneering in a UK context and this work will add significantly to the body of evidence around the role of Anchor Institutions in stimulating local economies.</w:t>
      </w:r>
    </w:p>
    <w:p w:rsidR="00641E4E" w:rsidRPr="00641E4E" w:rsidRDefault="00641E4E" w:rsidP="00641E4E">
      <w:pPr>
        <w:pStyle w:val="Heading4"/>
      </w:pPr>
      <w:r>
        <w:t>Strong project management</w:t>
      </w:r>
    </w:p>
    <w:p w:rsidR="00641E4E" w:rsidRDefault="00641E4E" w:rsidP="00920412">
      <w:pPr>
        <w:pStyle w:val="BodyText"/>
      </w:pPr>
      <w:r>
        <w:t>CLES closely pro</w:t>
      </w:r>
      <w:r w:rsidR="00492B12">
        <w:t xml:space="preserve">ject manages all pieces of work, </w:t>
      </w:r>
      <w:r w:rsidR="001E4870">
        <w:t>utilising the principles of PQ</w:t>
      </w:r>
      <w:r>
        <w:t>ASSO. This work will be managed jointly by the CLES Chief Executive and Deputy Chief Executive to ensure quality and so that risks are minimised.</w:t>
      </w:r>
    </w:p>
    <w:p w:rsidR="00641E4E" w:rsidRDefault="00121345" w:rsidP="00641E4E">
      <w:pPr>
        <w:pStyle w:val="Heading4"/>
      </w:pPr>
      <w:r>
        <w:t>Value for m</w:t>
      </w:r>
      <w:r w:rsidR="00641E4E">
        <w:t xml:space="preserve">oney </w:t>
      </w:r>
    </w:p>
    <w:p w:rsidR="00B21E3C" w:rsidRDefault="00641E4E" w:rsidP="00641E4E">
      <w:pPr>
        <w:pStyle w:val="BodyText"/>
      </w:pPr>
      <w:r>
        <w:t xml:space="preserve">CLES are the pioneers of work around Anchor Institutions in the UK and therefore offer significant knowledge and expertise from our work in Manchester, Preston, Birmingham, Oldham and across Europe. We are also focusing in our costings on purely research time and not charging for any costs associated with project management and engagement with the Power to Change </w:t>
      </w:r>
      <w:r w:rsidR="009937CD">
        <w:t xml:space="preserve">Research </w:t>
      </w:r>
      <w:r w:rsidR="00B21E3C">
        <w:t xml:space="preserve">Institute. </w:t>
      </w:r>
    </w:p>
    <w:p w:rsidR="00B21E3C" w:rsidRDefault="00B21E3C" w:rsidP="00B21E3C">
      <w:pPr>
        <w:pStyle w:val="Heading4"/>
      </w:pPr>
      <w:r>
        <w:t>Other sources of funding</w:t>
      </w:r>
    </w:p>
    <w:p w:rsidR="00B21E3C" w:rsidRDefault="00B21E3C" w:rsidP="00B21E3C">
      <w:pPr>
        <w:pStyle w:val="BodyText"/>
      </w:pPr>
      <w:r>
        <w:t>CLES are not seeking additional funding for this work. However, our wider work around Community Wealth Building and Anchor Institutions is gaining significant reputational capital across Europe. Where appropriate we will look to link in our other pieces of work into this one.</w:t>
      </w:r>
    </w:p>
    <w:p w:rsidR="00920412" w:rsidRDefault="00B21E3C" w:rsidP="00B21E3C">
      <w:pPr>
        <w:pStyle w:val="Heading4"/>
      </w:pPr>
      <w:r>
        <w:t>Key outputs</w:t>
      </w:r>
      <w:r w:rsidR="00641E4E">
        <w:t xml:space="preserve"> </w:t>
      </w:r>
    </w:p>
    <w:p w:rsidR="00B21E3C" w:rsidRDefault="00B21E3C" w:rsidP="00B21E3C">
      <w:pPr>
        <w:pStyle w:val="BodyText"/>
      </w:pPr>
      <w:r>
        <w:t xml:space="preserve">In physical terms, the key outputs of the work are a publication, workshops in three localities and a launch event. However, for us the outputs go much further in that we are seeking to organically shift the behaviour of Anchor Institutions, community business and wider stakeholders. </w:t>
      </w:r>
    </w:p>
    <w:p w:rsidR="00B21E3C" w:rsidRDefault="00B21E3C" w:rsidP="00B21E3C">
      <w:pPr>
        <w:pStyle w:val="Heading4"/>
      </w:pPr>
      <w:r>
        <w:lastRenderedPageBreak/>
        <w:t>An opportunity to share</w:t>
      </w:r>
    </w:p>
    <w:p w:rsidR="00920412" w:rsidRDefault="00B21E3C" w:rsidP="00920412">
      <w:pPr>
        <w:pStyle w:val="BodyText"/>
      </w:pPr>
      <w:r>
        <w:t>The outputs of the work will be shared widely through the networks of CLES and Power to Change. It will include to central departments and representative bodies, Anchor Institutions and community businesses themselves.</w:t>
      </w:r>
    </w:p>
    <w:sectPr w:rsidR="00920412" w:rsidSect="00A02498">
      <w:headerReference w:type="default" r:id="rId15"/>
      <w:footerReference w:type="default" r:id="rId16"/>
      <w:headerReference w:type="first" r:id="rId17"/>
      <w:footerReference w:type="first" r:id="rId18"/>
      <w:pgSz w:w="11907" w:h="16839" w:code="9"/>
      <w:pgMar w:top="1134" w:right="1134" w:bottom="1134" w:left="1134"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A3A" w:rsidRDefault="00F34A3A" w:rsidP="003576EE">
      <w:r>
        <w:separator/>
      </w:r>
    </w:p>
  </w:endnote>
  <w:endnote w:type="continuationSeparator" w:id="0">
    <w:p w:rsidR="00F34A3A" w:rsidRDefault="00F34A3A" w:rsidP="0035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dafone Rg">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C9C" w:rsidRDefault="00284C9C" w:rsidP="009668C5">
    <w:pPr>
      <w:pStyle w:val="CoverFooter"/>
    </w:pPr>
    <w:r w:rsidRPr="003576EE">
      <w:t>The Centre for Local Economic Strategies is a company limited by guarantee no 4242937 wi</w:t>
    </w:r>
    <w:r>
      <w:t>th charitable status no 1089503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C9C" w:rsidRPr="007820FF" w:rsidRDefault="00284C9C" w:rsidP="00FC2168">
    <w:pPr>
      <w:pStyle w:val="Footer"/>
    </w:pPr>
    <w:r>
      <w:t xml:space="preserve">Centre for Local Economic Strategies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C9C" w:rsidRDefault="00284C9C" w:rsidP="009668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A3A" w:rsidRDefault="00F34A3A" w:rsidP="003576EE">
      <w:r>
        <w:separator/>
      </w:r>
    </w:p>
  </w:footnote>
  <w:footnote w:type="continuationSeparator" w:id="0">
    <w:p w:rsidR="00F34A3A" w:rsidRDefault="00F34A3A" w:rsidP="00357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Y="1135"/>
      <w:tblOverlap w:val="never"/>
      <w:tblW w:w="2268" w:type="dxa"/>
      <w:tblLayout w:type="fixed"/>
      <w:tblCellMar>
        <w:left w:w="0" w:type="dxa"/>
        <w:right w:w="0" w:type="dxa"/>
      </w:tblCellMar>
      <w:tblLook w:val="04A0" w:firstRow="1" w:lastRow="0" w:firstColumn="1" w:lastColumn="0" w:noHBand="0" w:noVBand="1"/>
    </w:tblPr>
    <w:tblGrid>
      <w:gridCol w:w="2268"/>
    </w:tblGrid>
    <w:tr w:rsidR="00284C9C" w:rsidTr="00AE4B3D">
      <w:trPr>
        <w:trHeight w:hRule="exact" w:val="2268"/>
      </w:trPr>
      <w:tc>
        <w:tcPr>
          <w:tcW w:w="9855" w:type="dxa"/>
        </w:tcPr>
        <w:p w:rsidR="00284C9C" w:rsidRDefault="00284C9C" w:rsidP="00AE4B3D"/>
      </w:tc>
    </w:tr>
  </w:tbl>
  <w:p w:rsidR="00284C9C" w:rsidRDefault="00545703" w:rsidP="009F070B">
    <w:r>
      <w:rPr>
        <w:noProof/>
        <w:lang w:eastAsia="en-GB"/>
      </w:rPr>
      <w:drawing>
        <wp:anchor distT="0" distB="0" distL="114300" distR="114300" simplePos="0" relativeHeight="251657728" behindDoc="1" locked="0" layoutInCell="1" allowOverlap="1">
          <wp:simplePos x="0" y="0"/>
          <wp:positionH relativeFrom="page">
            <wp:posOffset>5807710</wp:posOffset>
          </wp:positionH>
          <wp:positionV relativeFrom="page">
            <wp:posOffset>720090</wp:posOffset>
          </wp:positionV>
          <wp:extent cx="1332230" cy="1034415"/>
          <wp:effectExtent l="0" t="0" r="0" b="0"/>
          <wp:wrapNone/>
          <wp:docPr id="1" name="Picture 1" descr="CLESlogosquare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Slogosquare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1034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C9C" w:rsidRDefault="00284C9C" w:rsidP="00A02498">
    <w:pPr>
      <w:pStyle w:val="Header"/>
    </w:pPr>
    <w:r>
      <w:fldChar w:fldCharType="begin"/>
    </w:r>
    <w:r>
      <w:instrText xml:space="preserve"> styleref Title \* Lower \* FirstCap</w:instrText>
    </w:r>
    <w:r>
      <w:fldChar w:fldCharType="separate"/>
    </w:r>
    <w:r w:rsidR="00C41960">
      <w:rPr>
        <w:noProof/>
      </w:rPr>
      <w:t>Anchor institutions and community business – evolving and realising potential</w:t>
    </w:r>
    <w:r>
      <w:fldChar w:fldCharType="end"/>
    </w:r>
    <w:r>
      <w:t>: Proposal</w:t>
    </w:r>
    <w:r>
      <w:tab/>
    </w:r>
    <w:r>
      <w:fldChar w:fldCharType="begin"/>
    </w:r>
    <w:r>
      <w:instrText xml:space="preserve"> page </w:instrText>
    </w:r>
    <w:r>
      <w:fldChar w:fldCharType="separate"/>
    </w:r>
    <w:r w:rsidR="00C41960">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C9C" w:rsidRDefault="00F34A3A" w:rsidP="00602CC8">
    <w:pPr>
      <w:pStyle w:val="AppendixHeader"/>
    </w:pPr>
    <w:fldSimple w:instr=" styleref Title ">
      <w:r w:rsidR="00301ECF">
        <w:rPr>
          <w:noProof/>
        </w:rPr>
        <w:t>anchor institutions and community business – evolving and realising potential</w:t>
      </w:r>
    </w:fldSimple>
    <w:r w:rsidR="00284C9C">
      <w:tab/>
    </w:r>
    <w:r w:rsidR="00284C9C">
      <w:fldChar w:fldCharType="begin"/>
    </w:r>
    <w:r w:rsidR="00284C9C">
      <w:instrText xml:space="preserve"> page \* roman </w:instrText>
    </w:r>
    <w:r w:rsidR="00284C9C">
      <w:fldChar w:fldCharType="separate"/>
    </w:r>
    <w:r w:rsidR="00284C9C">
      <w:rPr>
        <w:noProof/>
      </w:rPr>
      <w:t>i</w:t>
    </w:r>
    <w:r w:rsidR="00284C9C">
      <w:fldChar w:fldCharType="end"/>
    </w:r>
  </w:p>
  <w:p w:rsidR="00284C9C" w:rsidRPr="007820FF" w:rsidRDefault="00284C9C" w:rsidP="00602C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38E1"/>
    <w:multiLevelType w:val="multilevel"/>
    <w:tmpl w:val="0604101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0593017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D0783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293144"/>
    <w:multiLevelType w:val="multilevel"/>
    <w:tmpl w:val="DAF20028"/>
    <w:lvl w:ilvl="0">
      <w:start w:val="1"/>
      <w:numFmt w:val="decimal"/>
      <w:pStyle w:val="ListNumber"/>
      <w:lvlText w:val="%1)"/>
      <w:lvlJc w:val="left"/>
      <w:pPr>
        <w:tabs>
          <w:tab w:val="num" w:pos="1304"/>
        </w:tabs>
        <w:ind w:left="1304" w:hanging="584"/>
      </w:pPr>
      <w:rPr>
        <w:rFonts w:ascii="Tahoma" w:hAnsi="Tahoma" w:hint="default"/>
        <w:b/>
        <w:i w:val="0"/>
        <w:color w:val="339966"/>
        <w:sz w:val="20"/>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0CE55274"/>
    <w:multiLevelType w:val="multilevel"/>
    <w:tmpl w:val="DE24A6B2"/>
    <w:name w:val="ParagraphBullet"/>
    <w:lvl w:ilvl="0">
      <w:start w:val="1"/>
      <w:numFmt w:val="bullet"/>
      <w:lvlText w:val=""/>
      <w:lvlJc w:val="left"/>
      <w:pPr>
        <w:ind w:left="2061" w:hanging="360"/>
      </w:pPr>
      <w:rPr>
        <w:rFonts w:ascii="Symbol" w:hAnsi="Symbol" w:hint="default"/>
        <w:b/>
        <w:i w:val="0"/>
        <w:color w:val="C73333"/>
      </w:rPr>
    </w:lvl>
    <w:lvl w:ilvl="1">
      <w:start w:val="1"/>
      <w:numFmt w:val="bullet"/>
      <w:lvlText w:val=""/>
      <w:lvlJc w:val="left"/>
      <w:pPr>
        <w:tabs>
          <w:tab w:val="num" w:pos="2415"/>
        </w:tabs>
        <w:ind w:left="2415" w:hanging="357"/>
      </w:pPr>
      <w:rPr>
        <w:rFonts w:ascii="Symbol" w:hAnsi="Symbol" w:hint="default"/>
        <w:color w:val="C73333"/>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E4230B1"/>
    <w:multiLevelType w:val="hybridMultilevel"/>
    <w:tmpl w:val="0D34F192"/>
    <w:lvl w:ilvl="0" w:tplc="C35AE566">
      <w:start w:val="1"/>
      <w:numFmt w:val="bullet"/>
      <w:pStyle w:val="Box1Bullet"/>
      <w:lvlText w:val=""/>
      <w:lvlJc w:val="left"/>
      <w:pPr>
        <w:tabs>
          <w:tab w:val="num" w:pos="369"/>
        </w:tabs>
        <w:ind w:left="369" w:hanging="369"/>
      </w:pPr>
      <w:rPr>
        <w:rFonts w:ascii="Symbol" w:hAnsi="Symbol" w:hint="default"/>
        <w:b w:val="0"/>
        <w:i w:val="0"/>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5151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374864"/>
    <w:multiLevelType w:val="hybridMultilevel"/>
    <w:tmpl w:val="F26CD352"/>
    <w:lvl w:ilvl="0" w:tplc="D656230C">
      <w:start w:val="1"/>
      <w:numFmt w:val="bullet"/>
      <w:lvlText w:val=""/>
      <w:lvlJc w:val="left"/>
      <w:pPr>
        <w:tabs>
          <w:tab w:val="num" w:pos="584"/>
        </w:tabs>
        <w:ind w:left="584" w:hanging="584"/>
      </w:pPr>
      <w:rPr>
        <w:rFonts w:ascii="Wingdings" w:hAnsi="Wingdings" w:hint="default"/>
        <w:color w:val="339966"/>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F7E70"/>
    <w:multiLevelType w:val="multilevel"/>
    <w:tmpl w:val="5288B6BE"/>
    <w:lvl w:ilvl="0">
      <w:start w:val="1"/>
      <w:numFmt w:val="decimal"/>
      <w:pStyle w:val="FigureHeading"/>
      <w:suff w:val="space"/>
      <w:lvlText w:val="Figure %1:"/>
      <w:lvlJc w:val="left"/>
      <w:pPr>
        <w:ind w:left="1287" w:hanging="567"/>
      </w:pPr>
      <w:rPr>
        <w:rFonts w:ascii="Tahoma" w:hAnsi="Tahoma" w:hint="default"/>
        <w:b/>
        <w:i w:val="0"/>
        <w:color w:val="auto"/>
        <w:sz w:val="20"/>
        <w:u w:val="single"/>
      </w:rPr>
    </w:lvl>
    <w:lvl w:ilvl="1">
      <w:start w:val="1"/>
      <w:numFmt w:val="decimal"/>
      <w:lvlText w:val="%1.%2"/>
      <w:lvlJc w:val="left"/>
      <w:pPr>
        <w:tabs>
          <w:tab w:val="num" w:pos="1967"/>
        </w:tabs>
        <w:ind w:left="1967" w:hanging="680"/>
      </w:pPr>
      <w:rPr>
        <w:rFonts w:hint="default"/>
      </w:rPr>
    </w:lvl>
    <w:lvl w:ilvl="2">
      <w:start w:val="1"/>
      <w:numFmt w:val="decimal"/>
      <w:lvlText w:val="%1.%2.%3"/>
      <w:lvlJc w:val="left"/>
      <w:pPr>
        <w:tabs>
          <w:tab w:val="num" w:pos="2705"/>
        </w:tabs>
        <w:ind w:left="2705" w:hanging="738"/>
      </w:pPr>
      <w:rPr>
        <w:rFonts w:hint="default"/>
      </w:rPr>
    </w:lvl>
    <w:lvl w:ilvl="3">
      <w:start w:val="1"/>
      <w:numFmt w:val="decimal"/>
      <w:lvlText w:val="%1.%2.%3.%4"/>
      <w:lvlJc w:val="left"/>
      <w:pPr>
        <w:tabs>
          <w:tab w:val="num" w:pos="3555"/>
        </w:tabs>
        <w:ind w:left="3555" w:hanging="850"/>
      </w:pPr>
      <w:rPr>
        <w:rFonts w:hint="default"/>
      </w:rPr>
    </w:lvl>
    <w:lvl w:ilvl="4">
      <w:start w:val="1"/>
      <w:numFmt w:val="decimal"/>
      <w:lvlText w:val="%1.%2.%3.%4.%5"/>
      <w:lvlJc w:val="left"/>
      <w:pPr>
        <w:tabs>
          <w:tab w:val="num" w:pos="4689"/>
        </w:tabs>
        <w:ind w:left="4689" w:hanging="1134"/>
      </w:pPr>
      <w:rPr>
        <w:rFonts w:hint="default"/>
      </w:rPr>
    </w:lvl>
    <w:lvl w:ilvl="5">
      <w:start w:val="1"/>
      <w:numFmt w:val="lowerRoman"/>
      <w:lvlText w:val="(%6)"/>
      <w:lvlJc w:val="left"/>
      <w:pPr>
        <w:tabs>
          <w:tab w:val="num" w:pos="720"/>
        </w:tabs>
        <w:ind w:left="2880" w:hanging="360"/>
      </w:pPr>
      <w:rPr>
        <w:rFonts w:hint="default"/>
      </w:rPr>
    </w:lvl>
    <w:lvl w:ilvl="6">
      <w:start w:val="1"/>
      <w:numFmt w:val="decimal"/>
      <w:lvlText w:val="%7."/>
      <w:lvlJc w:val="left"/>
      <w:pPr>
        <w:tabs>
          <w:tab w:val="num" w:pos="720"/>
        </w:tabs>
        <w:ind w:left="3240" w:hanging="360"/>
      </w:pPr>
      <w:rPr>
        <w:rFonts w:hint="default"/>
      </w:rPr>
    </w:lvl>
    <w:lvl w:ilvl="7">
      <w:start w:val="1"/>
      <w:numFmt w:val="lowerLetter"/>
      <w:lvlText w:val="%8."/>
      <w:lvlJc w:val="left"/>
      <w:pPr>
        <w:tabs>
          <w:tab w:val="num" w:pos="720"/>
        </w:tabs>
        <w:ind w:left="3600" w:hanging="360"/>
      </w:pPr>
      <w:rPr>
        <w:rFonts w:hint="default"/>
      </w:rPr>
    </w:lvl>
    <w:lvl w:ilvl="8">
      <w:start w:val="1"/>
      <w:numFmt w:val="lowerRoman"/>
      <w:lvlText w:val="%9."/>
      <w:lvlJc w:val="left"/>
      <w:pPr>
        <w:tabs>
          <w:tab w:val="num" w:pos="720"/>
        </w:tabs>
        <w:ind w:left="3960" w:hanging="360"/>
      </w:pPr>
      <w:rPr>
        <w:rFonts w:hint="default"/>
      </w:rPr>
    </w:lvl>
  </w:abstractNum>
  <w:abstractNum w:abstractNumId="9" w15:restartNumberingAfterBreak="0">
    <w:nsid w:val="148B3CF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583058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A6975D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C5A6609"/>
    <w:multiLevelType w:val="hybridMultilevel"/>
    <w:tmpl w:val="D1D21E18"/>
    <w:lvl w:ilvl="0" w:tplc="AD6A699A">
      <w:start w:val="1"/>
      <w:numFmt w:val="decimal"/>
      <w:pStyle w:val="TOC5"/>
      <w:lvlText w:val="%1"/>
      <w:lvlJc w:val="left"/>
      <w:pPr>
        <w:tabs>
          <w:tab w:val="num" w:pos="720"/>
        </w:tabs>
        <w:ind w:left="720" w:hanging="720"/>
      </w:pPr>
      <w:rPr>
        <w:rFonts w:ascii="Tahoma" w:hAnsi="Tahoma" w:hint="default"/>
        <w:b w:val="0"/>
        <w:i w:val="0"/>
        <w:color w:val="auto"/>
        <w:sz w:val="20"/>
      </w:rPr>
    </w:lvl>
    <w:lvl w:ilvl="1" w:tplc="08090019" w:tentative="1">
      <w:start w:val="1"/>
      <w:numFmt w:val="lowerLetter"/>
      <w:lvlText w:val="%2."/>
      <w:lvlJc w:val="left"/>
      <w:pPr>
        <w:ind w:left="2320" w:hanging="360"/>
      </w:pPr>
    </w:lvl>
    <w:lvl w:ilvl="2" w:tplc="0809001B" w:tentative="1">
      <w:start w:val="1"/>
      <w:numFmt w:val="lowerRoman"/>
      <w:lvlText w:val="%3."/>
      <w:lvlJc w:val="right"/>
      <w:pPr>
        <w:ind w:left="3040" w:hanging="180"/>
      </w:pPr>
    </w:lvl>
    <w:lvl w:ilvl="3" w:tplc="0809000F" w:tentative="1">
      <w:start w:val="1"/>
      <w:numFmt w:val="decimal"/>
      <w:lvlText w:val="%4."/>
      <w:lvlJc w:val="left"/>
      <w:pPr>
        <w:ind w:left="3760" w:hanging="360"/>
      </w:pPr>
    </w:lvl>
    <w:lvl w:ilvl="4" w:tplc="08090019" w:tentative="1">
      <w:start w:val="1"/>
      <w:numFmt w:val="lowerLetter"/>
      <w:lvlText w:val="%5."/>
      <w:lvlJc w:val="left"/>
      <w:pPr>
        <w:ind w:left="4480" w:hanging="360"/>
      </w:pPr>
    </w:lvl>
    <w:lvl w:ilvl="5" w:tplc="0809001B" w:tentative="1">
      <w:start w:val="1"/>
      <w:numFmt w:val="lowerRoman"/>
      <w:lvlText w:val="%6."/>
      <w:lvlJc w:val="right"/>
      <w:pPr>
        <w:ind w:left="5200" w:hanging="180"/>
      </w:pPr>
    </w:lvl>
    <w:lvl w:ilvl="6" w:tplc="0809000F" w:tentative="1">
      <w:start w:val="1"/>
      <w:numFmt w:val="decimal"/>
      <w:lvlText w:val="%7."/>
      <w:lvlJc w:val="left"/>
      <w:pPr>
        <w:ind w:left="5920" w:hanging="360"/>
      </w:pPr>
    </w:lvl>
    <w:lvl w:ilvl="7" w:tplc="08090019" w:tentative="1">
      <w:start w:val="1"/>
      <w:numFmt w:val="lowerLetter"/>
      <w:lvlText w:val="%8."/>
      <w:lvlJc w:val="left"/>
      <w:pPr>
        <w:ind w:left="6640" w:hanging="360"/>
      </w:pPr>
    </w:lvl>
    <w:lvl w:ilvl="8" w:tplc="0809001B" w:tentative="1">
      <w:start w:val="1"/>
      <w:numFmt w:val="lowerRoman"/>
      <w:lvlText w:val="%9."/>
      <w:lvlJc w:val="right"/>
      <w:pPr>
        <w:ind w:left="7360" w:hanging="180"/>
      </w:pPr>
    </w:lvl>
  </w:abstractNum>
  <w:abstractNum w:abstractNumId="13" w15:restartNumberingAfterBreak="0">
    <w:nsid w:val="214938A2"/>
    <w:multiLevelType w:val="multilevel"/>
    <w:tmpl w:val="0809001D"/>
    <w:name w:val="ListBulle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78351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C40A0A"/>
    <w:multiLevelType w:val="multilevel"/>
    <w:tmpl w:val="0809001D"/>
    <w:name w:val="ListBulle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A0E2573"/>
    <w:multiLevelType w:val="hybridMultilevel"/>
    <w:tmpl w:val="89809622"/>
    <w:lvl w:ilvl="0" w:tplc="9ADA072C">
      <w:start w:val="1"/>
      <w:numFmt w:val="decimal"/>
      <w:pStyle w:val="Box1Number"/>
      <w:lvlText w:val="%1)"/>
      <w:lvlJc w:val="left"/>
      <w:pPr>
        <w:tabs>
          <w:tab w:val="num" w:pos="369"/>
        </w:tabs>
        <w:ind w:left="369" w:hanging="369"/>
      </w:pPr>
      <w:rPr>
        <w:rFonts w:ascii="Tahoma" w:hAnsi="Tahoma" w:hint="default"/>
        <w:b/>
        <w:i w:val="0"/>
        <w:color w:val="339966"/>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1F16D1"/>
    <w:multiLevelType w:val="multilevel"/>
    <w:tmpl w:val="17B4CACC"/>
    <w:name w:val="ListBullet"/>
    <w:lvl w:ilvl="0">
      <w:start w:val="1"/>
      <w:numFmt w:val="bullet"/>
      <w:lvlText w:val="•"/>
      <w:lvlJc w:val="left"/>
      <w:pPr>
        <w:tabs>
          <w:tab w:val="num" w:pos="1673"/>
        </w:tabs>
        <w:ind w:left="1673" w:hanging="369"/>
      </w:pPr>
      <w:rPr>
        <w:rFonts w:ascii="Vodafone Rg" w:hAnsi="Vodafone Rg" w:hint="default"/>
        <w:b/>
        <w:i w:val="0"/>
        <w:color w:val="339966"/>
        <w:sz w:val="20"/>
      </w:rPr>
    </w:lvl>
    <w:lvl w:ilvl="1">
      <w:start w:val="1"/>
      <w:numFmt w:val="bullet"/>
      <w:lvlText w:val=""/>
      <w:lvlJc w:val="left"/>
      <w:pPr>
        <w:tabs>
          <w:tab w:val="num" w:pos="1673"/>
        </w:tabs>
        <w:ind w:left="1673" w:hanging="369"/>
      </w:pPr>
      <w:rPr>
        <w:rFonts w:ascii="Symbol" w:hAnsi="Symbol" w:hint="default"/>
        <w:color w:val="FF0000"/>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tabs>
          <w:tab w:val="num" w:pos="0"/>
        </w:tabs>
        <w:ind w:left="1704" w:hanging="284"/>
      </w:pPr>
      <w:rPr>
        <w:rFonts w:hint="default"/>
      </w:rPr>
    </w:lvl>
    <w:lvl w:ilvl="6">
      <w:start w:val="1"/>
      <w:numFmt w:val="decimal"/>
      <w:lvlText w:val="%7."/>
      <w:lvlJc w:val="left"/>
      <w:pPr>
        <w:tabs>
          <w:tab w:val="num" w:pos="0"/>
        </w:tabs>
        <w:ind w:left="1988" w:hanging="284"/>
      </w:pPr>
      <w:rPr>
        <w:rFonts w:hint="default"/>
      </w:rPr>
    </w:lvl>
    <w:lvl w:ilvl="7">
      <w:start w:val="1"/>
      <w:numFmt w:val="lowerLetter"/>
      <w:lvlText w:val="%8."/>
      <w:lvlJc w:val="left"/>
      <w:pPr>
        <w:tabs>
          <w:tab w:val="num" w:pos="0"/>
        </w:tabs>
        <w:ind w:left="2272" w:hanging="284"/>
      </w:pPr>
      <w:rPr>
        <w:rFonts w:hint="default"/>
      </w:rPr>
    </w:lvl>
    <w:lvl w:ilvl="8">
      <w:start w:val="1"/>
      <w:numFmt w:val="lowerRoman"/>
      <w:lvlText w:val="%9."/>
      <w:lvlJc w:val="left"/>
      <w:pPr>
        <w:tabs>
          <w:tab w:val="num" w:pos="0"/>
        </w:tabs>
        <w:ind w:left="2556" w:hanging="284"/>
      </w:pPr>
      <w:rPr>
        <w:rFonts w:hint="default"/>
      </w:rPr>
    </w:lvl>
  </w:abstractNum>
  <w:abstractNum w:abstractNumId="18" w15:restartNumberingAfterBreak="0">
    <w:nsid w:val="36477CB8"/>
    <w:multiLevelType w:val="hybridMultilevel"/>
    <w:tmpl w:val="F86267D2"/>
    <w:lvl w:ilvl="0" w:tplc="D656230C">
      <w:start w:val="1"/>
      <w:numFmt w:val="bullet"/>
      <w:lvlText w:val=""/>
      <w:lvlJc w:val="left"/>
      <w:pPr>
        <w:tabs>
          <w:tab w:val="num" w:pos="584"/>
        </w:tabs>
        <w:ind w:left="584" w:hanging="584"/>
      </w:pPr>
      <w:rPr>
        <w:rFonts w:ascii="Wingdings" w:hAnsi="Wingdings" w:hint="default"/>
        <w:color w:val="339966"/>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5516B3"/>
    <w:multiLevelType w:val="hybridMultilevel"/>
    <w:tmpl w:val="0F5C9898"/>
    <w:lvl w:ilvl="0" w:tplc="B1CEA092">
      <w:start w:val="1"/>
      <w:numFmt w:val="bullet"/>
      <w:pStyle w:val="ListBullet2"/>
      <w:lvlText w:val="•"/>
      <w:lvlJc w:val="left"/>
      <w:pPr>
        <w:tabs>
          <w:tab w:val="num" w:pos="1673"/>
        </w:tabs>
        <w:ind w:left="1673" w:hanging="369"/>
      </w:pPr>
      <w:rPr>
        <w:rFonts w:ascii="Vodafone Rg" w:hAnsi="Vodafone Rg" w:hint="default"/>
        <w:color w:val="3399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106AA5"/>
    <w:multiLevelType w:val="multilevel"/>
    <w:tmpl w:val="0809001D"/>
    <w:name w:val="ListBulle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B9360D"/>
    <w:multiLevelType w:val="hybridMultilevel"/>
    <w:tmpl w:val="58784F76"/>
    <w:lvl w:ilvl="0" w:tplc="63ECABB8">
      <w:start w:val="1"/>
      <w:numFmt w:val="decimal"/>
      <w:pStyle w:val="AppendixNumber1"/>
      <w:lvlText w:val="%1)"/>
      <w:lvlJc w:val="left"/>
      <w:pPr>
        <w:tabs>
          <w:tab w:val="num" w:pos="584"/>
        </w:tabs>
        <w:ind w:left="584" w:hanging="584"/>
      </w:pPr>
      <w:rPr>
        <w:rFonts w:ascii="Tahoma" w:hAnsi="Tahoma" w:hint="default"/>
        <w:b/>
        <w:i w:val="0"/>
        <w:color w:val="339966"/>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C1B1C4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C7D580E"/>
    <w:multiLevelType w:val="multilevel"/>
    <w:tmpl w:val="0809001D"/>
    <w:name w:val="ListBullet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1C7F4B"/>
    <w:multiLevelType w:val="hybridMultilevel"/>
    <w:tmpl w:val="20781400"/>
    <w:lvl w:ilvl="0" w:tplc="DA14D334">
      <w:start w:val="1"/>
      <w:numFmt w:val="decimal"/>
      <w:pStyle w:val="Box2Number"/>
      <w:lvlText w:val="%1)"/>
      <w:lvlJc w:val="left"/>
      <w:pPr>
        <w:tabs>
          <w:tab w:val="num" w:pos="369"/>
        </w:tabs>
        <w:ind w:left="369" w:hanging="369"/>
      </w:pPr>
      <w:rPr>
        <w:rFonts w:ascii="Tahoma" w:hAnsi="Tahoma" w:hint="default"/>
        <w:b/>
        <w:i w:val="0"/>
        <w:color w:val="99CC0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048519B"/>
    <w:multiLevelType w:val="hybridMultilevel"/>
    <w:tmpl w:val="D7A094E0"/>
    <w:lvl w:ilvl="0" w:tplc="095C7E9A">
      <w:start w:val="1"/>
      <w:numFmt w:val="bullet"/>
      <w:pStyle w:val="Box3Bullet"/>
      <w:lvlText w:val=""/>
      <w:lvlJc w:val="left"/>
      <w:pPr>
        <w:tabs>
          <w:tab w:val="num" w:pos="369"/>
        </w:tabs>
        <w:ind w:left="369" w:hanging="369"/>
      </w:pPr>
      <w:rPr>
        <w:rFonts w:ascii="Symbol" w:hAnsi="Symbol" w:hint="default"/>
        <w:b w:val="0"/>
        <w:i w:val="0"/>
        <w:color w:val="8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E17C6A"/>
    <w:multiLevelType w:val="hybridMultilevel"/>
    <w:tmpl w:val="23D4E9DE"/>
    <w:lvl w:ilvl="0" w:tplc="AB0C63C6">
      <w:start w:val="1"/>
      <w:numFmt w:val="bullet"/>
      <w:pStyle w:val="CVBullet"/>
      <w:lvlText w:val=""/>
      <w:lvlJc w:val="left"/>
      <w:pPr>
        <w:tabs>
          <w:tab w:val="num" w:pos="369"/>
        </w:tabs>
        <w:ind w:left="369" w:hanging="369"/>
      </w:pPr>
      <w:rPr>
        <w:rFonts w:ascii="Wingdings" w:hAnsi="Wingdings" w:hint="default"/>
        <w:b w:val="0"/>
        <w:i w:val="0"/>
        <w:color w:val="3399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220A18"/>
    <w:multiLevelType w:val="multilevel"/>
    <w:tmpl w:val="80F01BC8"/>
    <w:lvl w:ilvl="0">
      <w:start w:val="1"/>
      <w:numFmt w:val="decimal"/>
      <w:pStyle w:val="AppendixTitle"/>
      <w:suff w:val="nothing"/>
      <w:lvlText w:val="Appendix %1"/>
      <w:lvlJc w:val="left"/>
      <w:pPr>
        <w:ind w:left="1080" w:hanging="720"/>
      </w:pPr>
      <w:rPr>
        <w:rFonts w:ascii="Tahoma" w:hAnsi="Tahoma" w:hint="default"/>
        <w:b/>
        <w:i w:val="0"/>
        <w:color w:val="339966"/>
        <w:sz w:val="40"/>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4)"/>
      <w:lvlJc w:val="left"/>
      <w:pPr>
        <w:tabs>
          <w:tab w:val="num" w:pos="360"/>
        </w:tabs>
        <w:ind w:left="1800" w:hanging="360"/>
      </w:pPr>
      <w:rPr>
        <w:rFonts w:hint="default"/>
      </w:rPr>
    </w:lvl>
    <w:lvl w:ilvl="4">
      <w:start w:val="1"/>
      <w:numFmt w:val="lowerLetter"/>
      <w:lvlText w:val="(%5)"/>
      <w:lvlJc w:val="left"/>
      <w:pPr>
        <w:tabs>
          <w:tab w:val="num" w:pos="360"/>
        </w:tabs>
        <w:ind w:left="2160" w:hanging="360"/>
      </w:pPr>
      <w:rPr>
        <w:rFonts w:hint="default"/>
      </w:rPr>
    </w:lvl>
    <w:lvl w:ilvl="5">
      <w:start w:val="1"/>
      <w:numFmt w:val="lowerRoman"/>
      <w:lvlText w:val="(%6)"/>
      <w:lvlJc w:val="left"/>
      <w:pPr>
        <w:tabs>
          <w:tab w:val="num" w:pos="360"/>
        </w:tabs>
        <w:ind w:left="2520" w:hanging="360"/>
      </w:pPr>
      <w:rPr>
        <w:rFonts w:hint="default"/>
      </w:rPr>
    </w:lvl>
    <w:lvl w:ilvl="6">
      <w:start w:val="1"/>
      <w:numFmt w:val="decimal"/>
      <w:lvlText w:val="%7."/>
      <w:lvlJc w:val="left"/>
      <w:pPr>
        <w:tabs>
          <w:tab w:val="num" w:pos="360"/>
        </w:tabs>
        <w:ind w:left="2880" w:hanging="360"/>
      </w:pPr>
      <w:rPr>
        <w:rFonts w:hint="default"/>
      </w:rPr>
    </w:lvl>
    <w:lvl w:ilvl="7">
      <w:start w:val="1"/>
      <w:numFmt w:val="lowerLetter"/>
      <w:lvlText w:val="%8."/>
      <w:lvlJc w:val="left"/>
      <w:pPr>
        <w:tabs>
          <w:tab w:val="num" w:pos="360"/>
        </w:tabs>
        <w:ind w:left="3240" w:hanging="360"/>
      </w:pPr>
      <w:rPr>
        <w:rFonts w:hint="default"/>
      </w:rPr>
    </w:lvl>
    <w:lvl w:ilvl="8">
      <w:start w:val="1"/>
      <w:numFmt w:val="lowerRoman"/>
      <w:lvlText w:val="%9."/>
      <w:lvlJc w:val="left"/>
      <w:pPr>
        <w:tabs>
          <w:tab w:val="num" w:pos="360"/>
        </w:tabs>
        <w:ind w:left="3600" w:hanging="360"/>
      </w:pPr>
      <w:rPr>
        <w:rFonts w:hint="default"/>
      </w:rPr>
    </w:lvl>
  </w:abstractNum>
  <w:abstractNum w:abstractNumId="28" w15:restartNumberingAfterBreak="0">
    <w:nsid w:val="515168B6"/>
    <w:multiLevelType w:val="multilevel"/>
    <w:tmpl w:val="88A4717C"/>
    <w:lvl w:ilvl="0">
      <w:start w:val="1"/>
      <w:numFmt w:val="decimal"/>
      <w:pStyle w:val="TableHeading"/>
      <w:suff w:val="nothing"/>
      <w:lvlText w:val="Table %1:"/>
      <w:lvlJc w:val="left"/>
      <w:pPr>
        <w:ind w:left="1287" w:hanging="567"/>
      </w:pPr>
      <w:rPr>
        <w:rFonts w:ascii="Tahoma" w:hAnsi="Tahoma" w:hint="default"/>
        <w:b/>
        <w:i w:val="0"/>
        <w:color w:val="auto"/>
        <w:sz w:val="20"/>
        <w:u w:val="single"/>
      </w:rPr>
    </w:lvl>
    <w:lvl w:ilvl="1">
      <w:start w:val="1"/>
      <w:numFmt w:val="lowerLetter"/>
      <w:suff w:val="space"/>
      <w:lvlText w:val="%2."/>
      <w:lvlJc w:val="left"/>
      <w:pPr>
        <w:ind w:left="1854" w:firstLine="0"/>
      </w:pPr>
      <w:rPr>
        <w:rFonts w:hint="default"/>
      </w:rPr>
    </w:lvl>
    <w:lvl w:ilvl="2">
      <w:start w:val="1"/>
      <w:numFmt w:val="lowerRoman"/>
      <w:suff w:val="space"/>
      <w:lvlText w:val="%3."/>
      <w:lvlJc w:val="left"/>
      <w:pPr>
        <w:ind w:left="2421" w:firstLine="0"/>
      </w:pPr>
      <w:rPr>
        <w:rFonts w:hint="default"/>
      </w:rPr>
    </w:lvl>
    <w:lvl w:ilvl="3">
      <w:start w:val="1"/>
      <w:numFmt w:val="decimal"/>
      <w:lvlText w:val="%1.%2.%3.%4."/>
      <w:lvlJc w:val="left"/>
      <w:pPr>
        <w:tabs>
          <w:tab w:val="num" w:pos="2520"/>
        </w:tabs>
        <w:ind w:left="2517" w:hanging="572"/>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9" w15:restartNumberingAfterBreak="0">
    <w:nsid w:val="51CE04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26B191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3801FC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445318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7510C8F"/>
    <w:multiLevelType w:val="hybridMultilevel"/>
    <w:tmpl w:val="9632A426"/>
    <w:lvl w:ilvl="0" w:tplc="2A3802D8">
      <w:start w:val="1"/>
      <w:numFmt w:val="bullet"/>
      <w:pStyle w:val="Box2Bullet"/>
      <w:lvlText w:val=""/>
      <w:lvlJc w:val="left"/>
      <w:pPr>
        <w:tabs>
          <w:tab w:val="num" w:pos="369"/>
        </w:tabs>
        <w:ind w:left="369" w:hanging="369"/>
      </w:pPr>
      <w:rPr>
        <w:rFonts w:ascii="Symbol" w:hAnsi="Symbol" w:hint="default"/>
        <w:b w:val="0"/>
        <w:i w:val="0"/>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87577E"/>
    <w:multiLevelType w:val="multilevel"/>
    <w:tmpl w:val="8B1E8FF8"/>
    <w:lvl w:ilvl="0">
      <w:start w:val="1"/>
      <w:numFmt w:val="decimal"/>
      <w:pStyle w:val="TableListNumber"/>
      <w:lvlText w:val="%1)"/>
      <w:lvlJc w:val="left"/>
      <w:pPr>
        <w:tabs>
          <w:tab w:val="num" w:pos="584"/>
        </w:tabs>
        <w:ind w:left="584" w:hanging="584"/>
      </w:pPr>
      <w:rPr>
        <w:rFonts w:ascii="Tahoma" w:hAnsi="Tahoma" w:hint="default"/>
        <w:b/>
        <w:i w:val="0"/>
        <w:color w:val="339966"/>
        <w:sz w:val="20"/>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5" w15:restartNumberingAfterBreak="0">
    <w:nsid w:val="5DF65EA0"/>
    <w:multiLevelType w:val="hybridMultilevel"/>
    <w:tmpl w:val="889405F0"/>
    <w:lvl w:ilvl="0" w:tplc="275C639A">
      <w:start w:val="1"/>
      <w:numFmt w:val="bullet"/>
      <w:pStyle w:val="AppendixFirstBullet"/>
      <w:lvlText w:val=""/>
      <w:lvlJc w:val="left"/>
      <w:pPr>
        <w:tabs>
          <w:tab w:val="num" w:pos="584"/>
        </w:tabs>
        <w:ind w:left="584" w:hanging="584"/>
      </w:pPr>
      <w:rPr>
        <w:rFonts w:ascii="Wingdings" w:hAnsi="Wingdings" w:hint="default"/>
        <w:color w:val="3399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7F742B"/>
    <w:multiLevelType w:val="hybridMultilevel"/>
    <w:tmpl w:val="DCDEAFA0"/>
    <w:lvl w:ilvl="0" w:tplc="3A346CE4">
      <w:start w:val="1"/>
      <w:numFmt w:val="bullet"/>
      <w:pStyle w:val="ListBullet"/>
      <w:lvlText w:val=""/>
      <w:lvlJc w:val="left"/>
      <w:pPr>
        <w:tabs>
          <w:tab w:val="num" w:pos="1304"/>
        </w:tabs>
        <w:ind w:left="1304" w:hanging="584"/>
      </w:pPr>
      <w:rPr>
        <w:rFonts w:ascii="Wingdings" w:hAnsi="Wingdings" w:hint="default"/>
        <w:color w:val="3399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E92265"/>
    <w:multiLevelType w:val="multilevel"/>
    <w:tmpl w:val="56FA4E34"/>
    <w:lvl w:ilvl="0">
      <w:start w:val="1"/>
      <w:numFmt w:val="bullet"/>
      <w:lvlText w:val=""/>
      <w:lvlJc w:val="left"/>
      <w:pPr>
        <w:tabs>
          <w:tab w:val="num" w:pos="584"/>
        </w:tabs>
        <w:ind w:left="584" w:hanging="584"/>
      </w:pPr>
      <w:rPr>
        <w:rFonts w:ascii="Wingdings" w:hAnsi="Wingdings" w:hint="default"/>
        <w:color w:val="FF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0C48DC"/>
    <w:multiLevelType w:val="hybridMultilevel"/>
    <w:tmpl w:val="B1E2A354"/>
    <w:lvl w:ilvl="0" w:tplc="1DDE247A">
      <w:start w:val="1"/>
      <w:numFmt w:val="bullet"/>
      <w:lvlText w:val="•"/>
      <w:lvlJc w:val="left"/>
      <w:pPr>
        <w:tabs>
          <w:tab w:val="num" w:pos="1673"/>
        </w:tabs>
        <w:ind w:left="1673" w:hanging="369"/>
      </w:pPr>
      <w:rPr>
        <w:rFonts w:ascii="Vodafone Rg" w:hAnsi="Vodafone Rg" w:hint="default"/>
        <w:color w:val="3399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3A7135"/>
    <w:multiLevelType w:val="hybridMultilevel"/>
    <w:tmpl w:val="62E445B8"/>
    <w:lvl w:ilvl="0" w:tplc="A694F818">
      <w:start w:val="1"/>
      <w:numFmt w:val="bullet"/>
      <w:pStyle w:val="TableListBullet"/>
      <w:lvlText w:val="•"/>
      <w:lvlJc w:val="left"/>
      <w:pPr>
        <w:tabs>
          <w:tab w:val="num" w:pos="369"/>
        </w:tabs>
        <w:ind w:left="369" w:hanging="369"/>
      </w:pPr>
      <w:rPr>
        <w:rFonts w:ascii="Vodafone Rg" w:hAnsi="Vodafone Rg" w:hint="default"/>
        <w:b/>
        <w:i w:val="0"/>
        <w:color w:val="33996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B747E9"/>
    <w:multiLevelType w:val="hybridMultilevel"/>
    <w:tmpl w:val="04189032"/>
    <w:lvl w:ilvl="0" w:tplc="3F0ABAB2">
      <w:start w:val="1"/>
      <w:numFmt w:val="decimal"/>
      <w:pStyle w:val="Box3Number"/>
      <w:lvlText w:val="%1)"/>
      <w:lvlJc w:val="left"/>
      <w:pPr>
        <w:tabs>
          <w:tab w:val="num" w:pos="369"/>
        </w:tabs>
        <w:ind w:left="369" w:hanging="369"/>
      </w:pPr>
      <w:rPr>
        <w:rFonts w:ascii="Tahoma" w:hAnsi="Tahoma" w:hint="default"/>
        <w:b/>
        <w:i w:val="0"/>
        <w:color w:val="80808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E853649"/>
    <w:multiLevelType w:val="multilevel"/>
    <w:tmpl w:val="8018BC0A"/>
    <w:lvl w:ilvl="0">
      <w:start w:val="1"/>
      <w:numFmt w:val="decimal"/>
      <w:lvlText w:val="%1"/>
      <w:lvlJc w:val="left"/>
      <w:pPr>
        <w:ind w:left="1600" w:hanging="360"/>
      </w:pPr>
      <w:rPr>
        <w:rFonts w:hint="default"/>
      </w:rPr>
    </w:lvl>
    <w:lvl w:ilvl="1">
      <w:start w:val="1"/>
      <w:numFmt w:val="lowerLetter"/>
      <w:lvlText w:val="%2."/>
      <w:lvlJc w:val="left"/>
      <w:pPr>
        <w:ind w:left="2320" w:hanging="360"/>
      </w:pPr>
    </w:lvl>
    <w:lvl w:ilvl="2">
      <w:start w:val="1"/>
      <w:numFmt w:val="lowerRoman"/>
      <w:lvlText w:val="%3."/>
      <w:lvlJc w:val="right"/>
      <w:pPr>
        <w:ind w:left="3040" w:hanging="180"/>
      </w:pPr>
    </w:lvl>
    <w:lvl w:ilvl="3">
      <w:start w:val="1"/>
      <w:numFmt w:val="decimal"/>
      <w:lvlText w:val="%4."/>
      <w:lvlJc w:val="left"/>
      <w:pPr>
        <w:ind w:left="3760" w:hanging="360"/>
      </w:pPr>
    </w:lvl>
    <w:lvl w:ilvl="4">
      <w:start w:val="1"/>
      <w:numFmt w:val="lowerLetter"/>
      <w:lvlText w:val="%5."/>
      <w:lvlJc w:val="left"/>
      <w:pPr>
        <w:ind w:left="4480" w:hanging="360"/>
      </w:pPr>
    </w:lvl>
    <w:lvl w:ilvl="5">
      <w:start w:val="1"/>
      <w:numFmt w:val="lowerRoman"/>
      <w:lvlText w:val="%6."/>
      <w:lvlJc w:val="right"/>
      <w:pPr>
        <w:ind w:left="5200" w:hanging="180"/>
      </w:pPr>
    </w:lvl>
    <w:lvl w:ilvl="6">
      <w:start w:val="1"/>
      <w:numFmt w:val="decimal"/>
      <w:lvlText w:val="%7."/>
      <w:lvlJc w:val="left"/>
      <w:pPr>
        <w:ind w:left="5920" w:hanging="360"/>
      </w:pPr>
    </w:lvl>
    <w:lvl w:ilvl="7">
      <w:start w:val="1"/>
      <w:numFmt w:val="lowerLetter"/>
      <w:lvlText w:val="%8."/>
      <w:lvlJc w:val="left"/>
      <w:pPr>
        <w:ind w:left="6640" w:hanging="360"/>
      </w:pPr>
    </w:lvl>
    <w:lvl w:ilvl="8">
      <w:start w:val="1"/>
      <w:numFmt w:val="lowerRoman"/>
      <w:lvlText w:val="%9."/>
      <w:lvlJc w:val="right"/>
      <w:pPr>
        <w:ind w:left="7360" w:hanging="180"/>
      </w:pPr>
    </w:lvl>
  </w:abstractNum>
  <w:abstractNum w:abstractNumId="42" w15:restartNumberingAfterBreak="0">
    <w:nsid w:val="6FA311A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09C545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8220C68"/>
    <w:multiLevelType w:val="hybridMultilevel"/>
    <w:tmpl w:val="84089440"/>
    <w:lvl w:ilvl="0" w:tplc="5484AA52">
      <w:start w:val="1"/>
      <w:numFmt w:val="bullet"/>
      <w:pStyle w:val="AppendixBullet1"/>
      <w:lvlText w:val=""/>
      <w:lvlJc w:val="left"/>
      <w:pPr>
        <w:tabs>
          <w:tab w:val="num" w:pos="584"/>
        </w:tabs>
        <w:ind w:left="584" w:hanging="584"/>
      </w:pPr>
      <w:rPr>
        <w:rFonts w:ascii="Wingdings" w:hAnsi="Wingdings" w:hint="default"/>
        <w:color w:val="3399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BC6C3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EFC5902"/>
    <w:multiLevelType w:val="hybridMultilevel"/>
    <w:tmpl w:val="FAD21234"/>
    <w:lvl w:ilvl="0" w:tplc="4F888056">
      <w:start w:val="1"/>
      <w:numFmt w:val="bullet"/>
      <w:pStyle w:val="FirstBullet2"/>
      <w:lvlText w:val="•"/>
      <w:lvlJc w:val="left"/>
      <w:pPr>
        <w:tabs>
          <w:tab w:val="num" w:pos="1673"/>
        </w:tabs>
        <w:ind w:left="1673" w:hanging="369"/>
      </w:pPr>
      <w:rPr>
        <w:rFonts w:ascii="Vodafone Rg" w:hAnsi="Vodafone Rg" w:hint="default"/>
        <w:color w:val="3399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250B4F"/>
    <w:multiLevelType w:val="multilevel"/>
    <w:tmpl w:val="B90808A6"/>
    <w:lvl w:ilvl="0">
      <w:start w:val="1"/>
      <w:numFmt w:val="decimal"/>
      <w:lvlText w:val="Appendi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4"/>
  </w:num>
  <w:num w:numId="2">
    <w:abstractNumId w:val="0"/>
  </w:num>
  <w:num w:numId="3">
    <w:abstractNumId w:val="39"/>
  </w:num>
  <w:num w:numId="4">
    <w:abstractNumId w:val="17"/>
  </w:num>
  <w:num w:numId="5">
    <w:abstractNumId w:val="12"/>
  </w:num>
  <w:num w:numId="6">
    <w:abstractNumId w:val="8"/>
  </w:num>
  <w:num w:numId="7">
    <w:abstractNumId w:val="28"/>
  </w:num>
  <w:num w:numId="8">
    <w:abstractNumId w:val="3"/>
  </w:num>
  <w:num w:numId="9">
    <w:abstractNumId w:val="35"/>
  </w:num>
  <w:num w:numId="10">
    <w:abstractNumId w:val="21"/>
  </w:num>
  <w:num w:numId="11">
    <w:abstractNumId w:val="27"/>
  </w:num>
  <w:num w:numId="12">
    <w:abstractNumId w:val="47"/>
  </w:num>
  <w:num w:numId="13">
    <w:abstractNumId w:val="37"/>
  </w:num>
  <w:num w:numId="14">
    <w:abstractNumId w:val="44"/>
  </w:num>
  <w:num w:numId="15">
    <w:abstractNumId w:val="21"/>
    <w:lvlOverride w:ilvl="0">
      <w:startOverride w:val="1"/>
    </w:lvlOverride>
  </w:num>
  <w:num w:numId="16">
    <w:abstractNumId w:val="42"/>
  </w:num>
  <w:num w:numId="17">
    <w:abstractNumId w:val="15"/>
  </w:num>
  <w:num w:numId="18">
    <w:abstractNumId w:val="36"/>
  </w:num>
  <w:num w:numId="19">
    <w:abstractNumId w:val="29"/>
  </w:num>
  <w:num w:numId="20">
    <w:abstractNumId w:val="20"/>
  </w:num>
  <w:num w:numId="21">
    <w:abstractNumId w:val="23"/>
  </w:num>
  <w:num w:numId="22">
    <w:abstractNumId w:val="13"/>
  </w:num>
  <w:num w:numId="23">
    <w:abstractNumId w:val="32"/>
  </w:num>
  <w:num w:numId="24">
    <w:abstractNumId w:val="2"/>
  </w:num>
  <w:num w:numId="25">
    <w:abstractNumId w:val="9"/>
  </w:num>
  <w:num w:numId="26">
    <w:abstractNumId w:val="31"/>
  </w:num>
  <w:num w:numId="27">
    <w:abstractNumId w:val="43"/>
  </w:num>
  <w:num w:numId="28">
    <w:abstractNumId w:val="10"/>
  </w:num>
  <w:num w:numId="29">
    <w:abstractNumId w:val="6"/>
  </w:num>
  <w:num w:numId="30">
    <w:abstractNumId w:val="46"/>
  </w:num>
  <w:num w:numId="31">
    <w:abstractNumId w:val="11"/>
  </w:num>
  <w:num w:numId="32">
    <w:abstractNumId w:val="38"/>
  </w:num>
  <w:num w:numId="33">
    <w:abstractNumId w:val="5"/>
  </w:num>
  <w:num w:numId="34">
    <w:abstractNumId w:val="16"/>
  </w:num>
  <w:num w:numId="35">
    <w:abstractNumId w:val="33"/>
  </w:num>
  <w:num w:numId="36">
    <w:abstractNumId w:val="24"/>
  </w:num>
  <w:num w:numId="37">
    <w:abstractNumId w:val="25"/>
  </w:num>
  <w:num w:numId="38">
    <w:abstractNumId w:val="40"/>
  </w:num>
  <w:num w:numId="39">
    <w:abstractNumId w:val="45"/>
  </w:num>
  <w:num w:numId="40">
    <w:abstractNumId w:val="14"/>
  </w:num>
  <w:num w:numId="41">
    <w:abstractNumId w:val="22"/>
  </w:num>
  <w:num w:numId="42">
    <w:abstractNumId w:val="30"/>
  </w:num>
  <w:num w:numId="43">
    <w:abstractNumId w:val="41"/>
  </w:num>
  <w:num w:numId="44">
    <w:abstractNumId w:val="19"/>
  </w:num>
  <w:num w:numId="45">
    <w:abstractNumId w:val="26"/>
  </w:num>
  <w:num w:numId="46">
    <w:abstractNumId w:val="1"/>
  </w:num>
  <w:num w:numId="47">
    <w:abstractNumId w:val="7"/>
  </w:num>
  <w:num w:numId="4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03"/>
    <w:rsid w:val="00000E7F"/>
    <w:rsid w:val="000115D4"/>
    <w:rsid w:val="000204EF"/>
    <w:rsid w:val="00031B9C"/>
    <w:rsid w:val="00041858"/>
    <w:rsid w:val="0004752C"/>
    <w:rsid w:val="000562CB"/>
    <w:rsid w:val="000624CA"/>
    <w:rsid w:val="000811DC"/>
    <w:rsid w:val="00092A77"/>
    <w:rsid w:val="00094531"/>
    <w:rsid w:val="000954D5"/>
    <w:rsid w:val="000A2A3C"/>
    <w:rsid w:val="000A3287"/>
    <w:rsid w:val="000B6991"/>
    <w:rsid w:val="000D6CB9"/>
    <w:rsid w:val="000F4160"/>
    <w:rsid w:val="000F71CA"/>
    <w:rsid w:val="001050A6"/>
    <w:rsid w:val="0010676B"/>
    <w:rsid w:val="001078E8"/>
    <w:rsid w:val="00121345"/>
    <w:rsid w:val="00121A50"/>
    <w:rsid w:val="00133231"/>
    <w:rsid w:val="00133C0D"/>
    <w:rsid w:val="001356F4"/>
    <w:rsid w:val="00136C98"/>
    <w:rsid w:val="00137FE1"/>
    <w:rsid w:val="00142CCE"/>
    <w:rsid w:val="00144F25"/>
    <w:rsid w:val="00155A4C"/>
    <w:rsid w:val="00157465"/>
    <w:rsid w:val="001575D4"/>
    <w:rsid w:val="00160779"/>
    <w:rsid w:val="00162BA3"/>
    <w:rsid w:val="00173017"/>
    <w:rsid w:val="0017570C"/>
    <w:rsid w:val="0017709F"/>
    <w:rsid w:val="001776E8"/>
    <w:rsid w:val="0018361A"/>
    <w:rsid w:val="00184D5A"/>
    <w:rsid w:val="00191290"/>
    <w:rsid w:val="00192BC9"/>
    <w:rsid w:val="00196FBC"/>
    <w:rsid w:val="00197C2A"/>
    <w:rsid w:val="00197DAB"/>
    <w:rsid w:val="001A0381"/>
    <w:rsid w:val="001B664B"/>
    <w:rsid w:val="001C3B51"/>
    <w:rsid w:val="001C7644"/>
    <w:rsid w:val="001D36AE"/>
    <w:rsid w:val="001D49A0"/>
    <w:rsid w:val="001E4870"/>
    <w:rsid w:val="001E4B1B"/>
    <w:rsid w:val="001E4F06"/>
    <w:rsid w:val="001F0CD7"/>
    <w:rsid w:val="0021638B"/>
    <w:rsid w:val="00226FD7"/>
    <w:rsid w:val="00235B72"/>
    <w:rsid w:val="0024145B"/>
    <w:rsid w:val="002455B1"/>
    <w:rsid w:val="002478C2"/>
    <w:rsid w:val="00253E10"/>
    <w:rsid w:val="00263EC0"/>
    <w:rsid w:val="0026762C"/>
    <w:rsid w:val="00267980"/>
    <w:rsid w:val="00284C9C"/>
    <w:rsid w:val="00292E98"/>
    <w:rsid w:val="002A26A2"/>
    <w:rsid w:val="002A6365"/>
    <w:rsid w:val="002A6D8E"/>
    <w:rsid w:val="002A70C4"/>
    <w:rsid w:val="002A7A6C"/>
    <w:rsid w:val="002B354B"/>
    <w:rsid w:val="002C7030"/>
    <w:rsid w:val="002D2519"/>
    <w:rsid w:val="002D2F8C"/>
    <w:rsid w:val="002E3470"/>
    <w:rsid w:val="002E6FB7"/>
    <w:rsid w:val="002F6196"/>
    <w:rsid w:val="002F7455"/>
    <w:rsid w:val="00301ECF"/>
    <w:rsid w:val="00305023"/>
    <w:rsid w:val="00310652"/>
    <w:rsid w:val="00322D9C"/>
    <w:rsid w:val="00332EE8"/>
    <w:rsid w:val="0034100D"/>
    <w:rsid w:val="00347377"/>
    <w:rsid w:val="00350C13"/>
    <w:rsid w:val="003576EE"/>
    <w:rsid w:val="00364021"/>
    <w:rsid w:val="00392895"/>
    <w:rsid w:val="00394688"/>
    <w:rsid w:val="00395F2C"/>
    <w:rsid w:val="003A7868"/>
    <w:rsid w:val="003B37DC"/>
    <w:rsid w:val="003B5AC5"/>
    <w:rsid w:val="003C648A"/>
    <w:rsid w:val="003D06DA"/>
    <w:rsid w:val="003D73BC"/>
    <w:rsid w:val="003E162C"/>
    <w:rsid w:val="003E23D0"/>
    <w:rsid w:val="003E397F"/>
    <w:rsid w:val="003E44FF"/>
    <w:rsid w:val="003E6F9D"/>
    <w:rsid w:val="00405413"/>
    <w:rsid w:val="00405778"/>
    <w:rsid w:val="0043181F"/>
    <w:rsid w:val="00445C85"/>
    <w:rsid w:val="004509FB"/>
    <w:rsid w:val="00453CDB"/>
    <w:rsid w:val="0045534A"/>
    <w:rsid w:val="004564D2"/>
    <w:rsid w:val="00456BCC"/>
    <w:rsid w:val="00482423"/>
    <w:rsid w:val="00492B12"/>
    <w:rsid w:val="00494595"/>
    <w:rsid w:val="004A624D"/>
    <w:rsid w:val="004B7EF5"/>
    <w:rsid w:val="004C4095"/>
    <w:rsid w:val="004D6A50"/>
    <w:rsid w:val="004F2FDE"/>
    <w:rsid w:val="005069D0"/>
    <w:rsid w:val="00506C9D"/>
    <w:rsid w:val="00506D98"/>
    <w:rsid w:val="005075ED"/>
    <w:rsid w:val="005230B2"/>
    <w:rsid w:val="00523D5D"/>
    <w:rsid w:val="005304D0"/>
    <w:rsid w:val="00534711"/>
    <w:rsid w:val="005424EE"/>
    <w:rsid w:val="00545703"/>
    <w:rsid w:val="0055039F"/>
    <w:rsid w:val="00557A68"/>
    <w:rsid w:val="00570742"/>
    <w:rsid w:val="00585C46"/>
    <w:rsid w:val="00590C4A"/>
    <w:rsid w:val="00593AC1"/>
    <w:rsid w:val="00596340"/>
    <w:rsid w:val="005974E6"/>
    <w:rsid w:val="005A0B7B"/>
    <w:rsid w:val="005A58F4"/>
    <w:rsid w:val="005B1263"/>
    <w:rsid w:val="005D19BC"/>
    <w:rsid w:val="005D2AE6"/>
    <w:rsid w:val="005D2FDA"/>
    <w:rsid w:val="005E4677"/>
    <w:rsid w:val="00602081"/>
    <w:rsid w:val="00602CC8"/>
    <w:rsid w:val="00603E3C"/>
    <w:rsid w:val="00604196"/>
    <w:rsid w:val="00606388"/>
    <w:rsid w:val="006148A1"/>
    <w:rsid w:val="006148C4"/>
    <w:rsid w:val="00614F11"/>
    <w:rsid w:val="00632F55"/>
    <w:rsid w:val="00641E4E"/>
    <w:rsid w:val="006450D7"/>
    <w:rsid w:val="00645377"/>
    <w:rsid w:val="00646472"/>
    <w:rsid w:val="00650ED9"/>
    <w:rsid w:val="006654AE"/>
    <w:rsid w:val="00674265"/>
    <w:rsid w:val="00681954"/>
    <w:rsid w:val="00684FE5"/>
    <w:rsid w:val="006B2F9B"/>
    <w:rsid w:val="006B55B1"/>
    <w:rsid w:val="006C425C"/>
    <w:rsid w:val="006E4E92"/>
    <w:rsid w:val="006E65B3"/>
    <w:rsid w:val="006E6E18"/>
    <w:rsid w:val="006F70A6"/>
    <w:rsid w:val="00705F4B"/>
    <w:rsid w:val="00714A40"/>
    <w:rsid w:val="007169DF"/>
    <w:rsid w:val="0072206C"/>
    <w:rsid w:val="0073648C"/>
    <w:rsid w:val="007413C7"/>
    <w:rsid w:val="0074243C"/>
    <w:rsid w:val="00747740"/>
    <w:rsid w:val="00765AE2"/>
    <w:rsid w:val="007774A0"/>
    <w:rsid w:val="007820FF"/>
    <w:rsid w:val="007844F3"/>
    <w:rsid w:val="0079051E"/>
    <w:rsid w:val="007A1567"/>
    <w:rsid w:val="007B6687"/>
    <w:rsid w:val="007C1B99"/>
    <w:rsid w:val="007D2244"/>
    <w:rsid w:val="007D67E7"/>
    <w:rsid w:val="007D79AB"/>
    <w:rsid w:val="007E6562"/>
    <w:rsid w:val="007E66E3"/>
    <w:rsid w:val="007E7CE1"/>
    <w:rsid w:val="007F0BE0"/>
    <w:rsid w:val="0080052A"/>
    <w:rsid w:val="00811D99"/>
    <w:rsid w:val="00812F44"/>
    <w:rsid w:val="008225E7"/>
    <w:rsid w:val="00822AA2"/>
    <w:rsid w:val="00830EE2"/>
    <w:rsid w:val="00835040"/>
    <w:rsid w:val="00850E4D"/>
    <w:rsid w:val="008551B5"/>
    <w:rsid w:val="00860085"/>
    <w:rsid w:val="00872F7A"/>
    <w:rsid w:val="0087653A"/>
    <w:rsid w:val="0087695A"/>
    <w:rsid w:val="0088042D"/>
    <w:rsid w:val="00890E9C"/>
    <w:rsid w:val="00896619"/>
    <w:rsid w:val="008A13CF"/>
    <w:rsid w:val="008A3444"/>
    <w:rsid w:val="008A430A"/>
    <w:rsid w:val="008B34C9"/>
    <w:rsid w:val="008B5F85"/>
    <w:rsid w:val="008D4876"/>
    <w:rsid w:val="008E0868"/>
    <w:rsid w:val="00904F82"/>
    <w:rsid w:val="00915DB7"/>
    <w:rsid w:val="009178C4"/>
    <w:rsid w:val="00920412"/>
    <w:rsid w:val="009224D0"/>
    <w:rsid w:val="00952589"/>
    <w:rsid w:val="009609A9"/>
    <w:rsid w:val="009668C5"/>
    <w:rsid w:val="00975EE7"/>
    <w:rsid w:val="00990676"/>
    <w:rsid w:val="00991D40"/>
    <w:rsid w:val="009937CD"/>
    <w:rsid w:val="0099473C"/>
    <w:rsid w:val="009B65D2"/>
    <w:rsid w:val="009D0FD3"/>
    <w:rsid w:val="009E3768"/>
    <w:rsid w:val="009F070B"/>
    <w:rsid w:val="00A02498"/>
    <w:rsid w:val="00A037E2"/>
    <w:rsid w:val="00A15FDD"/>
    <w:rsid w:val="00A1720B"/>
    <w:rsid w:val="00A23184"/>
    <w:rsid w:val="00A23D25"/>
    <w:rsid w:val="00A27270"/>
    <w:rsid w:val="00A35285"/>
    <w:rsid w:val="00A45624"/>
    <w:rsid w:val="00A47848"/>
    <w:rsid w:val="00A552D9"/>
    <w:rsid w:val="00A621DF"/>
    <w:rsid w:val="00A63EC3"/>
    <w:rsid w:val="00A63EF0"/>
    <w:rsid w:val="00A64031"/>
    <w:rsid w:val="00A6587D"/>
    <w:rsid w:val="00A67D23"/>
    <w:rsid w:val="00A77812"/>
    <w:rsid w:val="00A80A4D"/>
    <w:rsid w:val="00A83B96"/>
    <w:rsid w:val="00A9026A"/>
    <w:rsid w:val="00A97F48"/>
    <w:rsid w:val="00AA4783"/>
    <w:rsid w:val="00AB3FCA"/>
    <w:rsid w:val="00AC1C45"/>
    <w:rsid w:val="00AC4A05"/>
    <w:rsid w:val="00AE4B3D"/>
    <w:rsid w:val="00AE752E"/>
    <w:rsid w:val="00AE7B5D"/>
    <w:rsid w:val="00B00515"/>
    <w:rsid w:val="00B07822"/>
    <w:rsid w:val="00B15015"/>
    <w:rsid w:val="00B21E3C"/>
    <w:rsid w:val="00B32F7F"/>
    <w:rsid w:val="00B33E79"/>
    <w:rsid w:val="00B343FD"/>
    <w:rsid w:val="00B35A43"/>
    <w:rsid w:val="00B35A96"/>
    <w:rsid w:val="00B36F67"/>
    <w:rsid w:val="00B416FB"/>
    <w:rsid w:val="00B504D0"/>
    <w:rsid w:val="00B52A21"/>
    <w:rsid w:val="00B52B91"/>
    <w:rsid w:val="00B532C7"/>
    <w:rsid w:val="00B66F32"/>
    <w:rsid w:val="00B7150B"/>
    <w:rsid w:val="00B73BF8"/>
    <w:rsid w:val="00B95A71"/>
    <w:rsid w:val="00BA74A8"/>
    <w:rsid w:val="00BB01A9"/>
    <w:rsid w:val="00BB18C3"/>
    <w:rsid w:val="00BB4D21"/>
    <w:rsid w:val="00BB7E3A"/>
    <w:rsid w:val="00BC58AA"/>
    <w:rsid w:val="00BD3901"/>
    <w:rsid w:val="00BD73F7"/>
    <w:rsid w:val="00BE010C"/>
    <w:rsid w:val="00BF0A35"/>
    <w:rsid w:val="00BF0C3C"/>
    <w:rsid w:val="00C07DC2"/>
    <w:rsid w:val="00C1524D"/>
    <w:rsid w:val="00C17AFD"/>
    <w:rsid w:val="00C205BF"/>
    <w:rsid w:val="00C24811"/>
    <w:rsid w:val="00C27A67"/>
    <w:rsid w:val="00C34342"/>
    <w:rsid w:val="00C41384"/>
    <w:rsid w:val="00C41960"/>
    <w:rsid w:val="00C42FD0"/>
    <w:rsid w:val="00C638FB"/>
    <w:rsid w:val="00C639AB"/>
    <w:rsid w:val="00C726D0"/>
    <w:rsid w:val="00C80BC0"/>
    <w:rsid w:val="00C8603E"/>
    <w:rsid w:val="00CA70F9"/>
    <w:rsid w:val="00CA7427"/>
    <w:rsid w:val="00CB2D07"/>
    <w:rsid w:val="00CC2596"/>
    <w:rsid w:val="00CC4B6B"/>
    <w:rsid w:val="00CC5053"/>
    <w:rsid w:val="00CE3830"/>
    <w:rsid w:val="00CE3F94"/>
    <w:rsid w:val="00CE68D2"/>
    <w:rsid w:val="00CE7C83"/>
    <w:rsid w:val="00CF6B93"/>
    <w:rsid w:val="00D17921"/>
    <w:rsid w:val="00D201ED"/>
    <w:rsid w:val="00D2539A"/>
    <w:rsid w:val="00D263E5"/>
    <w:rsid w:val="00D32129"/>
    <w:rsid w:val="00D44BB6"/>
    <w:rsid w:val="00D45034"/>
    <w:rsid w:val="00D461F4"/>
    <w:rsid w:val="00D522AF"/>
    <w:rsid w:val="00D564FF"/>
    <w:rsid w:val="00D607A5"/>
    <w:rsid w:val="00D629A8"/>
    <w:rsid w:val="00D6418B"/>
    <w:rsid w:val="00D6763F"/>
    <w:rsid w:val="00D741ED"/>
    <w:rsid w:val="00D7635B"/>
    <w:rsid w:val="00D76365"/>
    <w:rsid w:val="00D7681B"/>
    <w:rsid w:val="00D93354"/>
    <w:rsid w:val="00D96AC1"/>
    <w:rsid w:val="00D96E65"/>
    <w:rsid w:val="00DA00FD"/>
    <w:rsid w:val="00DA53CD"/>
    <w:rsid w:val="00DB3284"/>
    <w:rsid w:val="00DD6F5F"/>
    <w:rsid w:val="00DE5239"/>
    <w:rsid w:val="00E0476F"/>
    <w:rsid w:val="00E04CA8"/>
    <w:rsid w:val="00E21815"/>
    <w:rsid w:val="00E242BD"/>
    <w:rsid w:val="00E30599"/>
    <w:rsid w:val="00E32FCC"/>
    <w:rsid w:val="00E617EB"/>
    <w:rsid w:val="00E64CC0"/>
    <w:rsid w:val="00E70B33"/>
    <w:rsid w:val="00E716D9"/>
    <w:rsid w:val="00E8040A"/>
    <w:rsid w:val="00E95911"/>
    <w:rsid w:val="00EA0800"/>
    <w:rsid w:val="00EA40F8"/>
    <w:rsid w:val="00EA756A"/>
    <w:rsid w:val="00EA7B3F"/>
    <w:rsid w:val="00EB1BE5"/>
    <w:rsid w:val="00EB5B74"/>
    <w:rsid w:val="00EC1B94"/>
    <w:rsid w:val="00EC5D35"/>
    <w:rsid w:val="00ED1FD6"/>
    <w:rsid w:val="00EF28B6"/>
    <w:rsid w:val="00F016A2"/>
    <w:rsid w:val="00F053D8"/>
    <w:rsid w:val="00F05B9A"/>
    <w:rsid w:val="00F05E89"/>
    <w:rsid w:val="00F106BC"/>
    <w:rsid w:val="00F1202F"/>
    <w:rsid w:val="00F14930"/>
    <w:rsid w:val="00F16BDE"/>
    <w:rsid w:val="00F24078"/>
    <w:rsid w:val="00F308C5"/>
    <w:rsid w:val="00F34A3A"/>
    <w:rsid w:val="00F3509C"/>
    <w:rsid w:val="00F356E8"/>
    <w:rsid w:val="00F35B03"/>
    <w:rsid w:val="00F51DD1"/>
    <w:rsid w:val="00F602DF"/>
    <w:rsid w:val="00F7607F"/>
    <w:rsid w:val="00F82362"/>
    <w:rsid w:val="00F9699C"/>
    <w:rsid w:val="00FA07C4"/>
    <w:rsid w:val="00FA4CF9"/>
    <w:rsid w:val="00FA75D1"/>
    <w:rsid w:val="00FB0BC4"/>
    <w:rsid w:val="00FB7946"/>
    <w:rsid w:val="00FC0FE0"/>
    <w:rsid w:val="00FC2168"/>
    <w:rsid w:val="00FD2816"/>
    <w:rsid w:val="00FD46F3"/>
    <w:rsid w:val="00FD4BFE"/>
    <w:rsid w:val="00FE4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0E81DD8-DE00-4059-977D-EB99E000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377"/>
    <w:pPr>
      <w:jc w:val="both"/>
    </w:pPr>
    <w:rPr>
      <w:rFonts w:ascii="Tahoma" w:hAnsi="Tahoma"/>
      <w:szCs w:val="22"/>
      <w:lang w:eastAsia="en-US"/>
    </w:rPr>
  </w:style>
  <w:style w:type="paragraph" w:styleId="Heading1">
    <w:name w:val="heading 1"/>
    <w:basedOn w:val="Normal"/>
    <w:next w:val="BodyText"/>
    <w:link w:val="Heading1Char"/>
    <w:uiPriority w:val="9"/>
    <w:qFormat/>
    <w:rsid w:val="001C7644"/>
    <w:pPr>
      <w:keepNext/>
      <w:keepLines/>
      <w:numPr>
        <w:numId w:val="2"/>
      </w:numPr>
      <w:spacing w:after="200"/>
      <w:outlineLvl w:val="0"/>
    </w:pPr>
    <w:rPr>
      <w:b/>
      <w:bCs/>
      <w:caps/>
      <w:color w:val="339966"/>
      <w:sz w:val="22"/>
      <w:szCs w:val="28"/>
    </w:rPr>
  </w:style>
  <w:style w:type="paragraph" w:styleId="Heading2">
    <w:name w:val="heading 2"/>
    <w:basedOn w:val="Normal"/>
    <w:next w:val="BodyText"/>
    <w:link w:val="Heading2Char"/>
    <w:uiPriority w:val="9"/>
    <w:qFormat/>
    <w:rsid w:val="001C7644"/>
    <w:pPr>
      <w:keepNext/>
      <w:keepLines/>
      <w:numPr>
        <w:ilvl w:val="1"/>
        <w:numId w:val="2"/>
      </w:numPr>
      <w:spacing w:after="200"/>
      <w:outlineLvl w:val="1"/>
    </w:pPr>
    <w:rPr>
      <w:b/>
      <w:bCs/>
      <w:color w:val="339966"/>
      <w:sz w:val="22"/>
      <w:szCs w:val="26"/>
    </w:rPr>
  </w:style>
  <w:style w:type="paragraph" w:styleId="Heading3">
    <w:name w:val="heading 3"/>
    <w:basedOn w:val="Normal"/>
    <w:next w:val="BodyText"/>
    <w:link w:val="Heading3Char"/>
    <w:uiPriority w:val="9"/>
    <w:qFormat/>
    <w:rsid w:val="001C7644"/>
    <w:pPr>
      <w:keepNext/>
      <w:keepLines/>
      <w:numPr>
        <w:ilvl w:val="2"/>
        <w:numId w:val="2"/>
      </w:numPr>
      <w:spacing w:after="200"/>
      <w:outlineLvl w:val="2"/>
    </w:pPr>
    <w:rPr>
      <w:b/>
      <w:bCs/>
      <w:color w:val="339966"/>
    </w:rPr>
  </w:style>
  <w:style w:type="paragraph" w:styleId="Heading4">
    <w:name w:val="heading 4"/>
    <w:basedOn w:val="Normal"/>
    <w:next w:val="BodyText"/>
    <w:link w:val="Heading4Char"/>
    <w:uiPriority w:val="9"/>
    <w:qFormat/>
    <w:rsid w:val="001C7644"/>
    <w:pPr>
      <w:keepNext/>
      <w:keepLines/>
      <w:ind w:left="720"/>
      <w:outlineLvl w:val="3"/>
    </w:pPr>
    <w:rPr>
      <w:b/>
      <w:bCs/>
      <w:i/>
      <w:iCs/>
      <w:color w:val="339966"/>
    </w:rPr>
  </w:style>
  <w:style w:type="paragraph" w:styleId="Heading5">
    <w:name w:val="heading 5"/>
    <w:basedOn w:val="Normal"/>
    <w:next w:val="BodyText"/>
    <w:link w:val="Heading5Char"/>
    <w:uiPriority w:val="9"/>
    <w:qFormat/>
    <w:rsid w:val="001C7644"/>
    <w:pPr>
      <w:keepNext/>
      <w:keepLines/>
      <w:ind w:left="720"/>
      <w:outlineLvl w:val="4"/>
    </w:pPr>
    <w:rPr>
      <w:color w:val="339966"/>
      <w:u w:val="single"/>
    </w:rPr>
  </w:style>
  <w:style w:type="paragraph" w:styleId="Heading6">
    <w:name w:val="heading 6"/>
    <w:basedOn w:val="Normal"/>
    <w:next w:val="Normal"/>
    <w:link w:val="Heading6Char"/>
    <w:uiPriority w:val="9"/>
    <w:qFormat/>
    <w:rsid w:val="00310652"/>
    <w:pPr>
      <w:keepNext/>
      <w:keepLines/>
      <w:spacing w:before="200"/>
      <w:outlineLvl w:val="5"/>
    </w:pPr>
    <w:rPr>
      <w:rFonts w:eastAsia="Times New Roman"/>
      <w:i/>
      <w:iCs/>
      <w:sz w:val="22"/>
      <w:lang w:val="x-none"/>
    </w:rPr>
  </w:style>
  <w:style w:type="paragraph" w:styleId="Heading7">
    <w:name w:val="heading 7"/>
    <w:basedOn w:val="Normal"/>
    <w:next w:val="Normal"/>
    <w:link w:val="Heading7Char"/>
    <w:uiPriority w:val="9"/>
    <w:qFormat/>
    <w:rsid w:val="0088042D"/>
    <w:pPr>
      <w:keepNext/>
      <w:keepLines/>
      <w:spacing w:before="200"/>
      <w:outlineLvl w:val="6"/>
    </w:pPr>
    <w:rPr>
      <w:rFonts w:ascii="Cambria" w:eastAsia="Times New Roman" w:hAnsi="Cambria"/>
      <w:i/>
      <w:iCs/>
      <w:color w:val="404040"/>
      <w:sz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56F4"/>
    <w:pPr>
      <w:spacing w:after="165" w:line="240" w:lineRule="atLeast"/>
      <w:ind w:left="720"/>
    </w:pPr>
  </w:style>
  <w:style w:type="character" w:customStyle="1" w:styleId="BodyTextChar">
    <w:name w:val="Body Text Char"/>
    <w:link w:val="BodyText"/>
    <w:rsid w:val="001356F4"/>
    <w:rPr>
      <w:rFonts w:ascii="Tahoma" w:eastAsia="Calibri" w:hAnsi="Tahoma"/>
      <w:szCs w:val="22"/>
      <w:lang w:val="en-GB" w:eastAsia="en-US" w:bidi="ar-SA"/>
    </w:rPr>
  </w:style>
  <w:style w:type="character" w:customStyle="1" w:styleId="Heading1Char">
    <w:name w:val="Heading 1 Char"/>
    <w:link w:val="Heading1"/>
    <w:uiPriority w:val="9"/>
    <w:rsid w:val="001C7644"/>
    <w:rPr>
      <w:rFonts w:ascii="Tahoma" w:hAnsi="Tahoma"/>
      <w:b/>
      <w:bCs/>
      <w:caps/>
      <w:color w:val="339966"/>
      <w:sz w:val="22"/>
      <w:szCs w:val="28"/>
      <w:lang w:val="en-GB" w:eastAsia="en-US" w:bidi="ar-SA"/>
    </w:rPr>
  </w:style>
  <w:style w:type="character" w:customStyle="1" w:styleId="Heading2Char">
    <w:name w:val="Heading 2 Char"/>
    <w:link w:val="Heading2"/>
    <w:uiPriority w:val="9"/>
    <w:rsid w:val="001C7644"/>
    <w:rPr>
      <w:rFonts w:ascii="Tahoma" w:hAnsi="Tahoma"/>
      <w:b/>
      <w:bCs/>
      <w:color w:val="339966"/>
      <w:sz w:val="22"/>
      <w:szCs w:val="26"/>
      <w:lang w:val="en-GB" w:eastAsia="en-US" w:bidi="ar-SA"/>
    </w:rPr>
  </w:style>
  <w:style w:type="character" w:customStyle="1" w:styleId="Heading3Char">
    <w:name w:val="Heading 3 Char"/>
    <w:link w:val="Heading3"/>
    <w:uiPriority w:val="9"/>
    <w:rsid w:val="001C7644"/>
    <w:rPr>
      <w:rFonts w:ascii="Tahoma" w:hAnsi="Tahoma"/>
      <w:b/>
      <w:bCs/>
      <w:color w:val="339966"/>
      <w:szCs w:val="22"/>
      <w:lang w:val="en-GB" w:eastAsia="en-US" w:bidi="ar-SA"/>
    </w:rPr>
  </w:style>
  <w:style w:type="character" w:customStyle="1" w:styleId="Heading4Char">
    <w:name w:val="Heading 4 Char"/>
    <w:link w:val="Heading4"/>
    <w:uiPriority w:val="9"/>
    <w:rsid w:val="001C7644"/>
    <w:rPr>
      <w:rFonts w:ascii="Tahoma" w:hAnsi="Tahoma"/>
      <w:b/>
      <w:bCs/>
      <w:i/>
      <w:iCs/>
      <w:color w:val="339966"/>
      <w:szCs w:val="22"/>
      <w:lang w:val="en-GB" w:eastAsia="en-US" w:bidi="ar-SA"/>
    </w:rPr>
  </w:style>
  <w:style w:type="character" w:customStyle="1" w:styleId="Heading5Char">
    <w:name w:val="Heading 5 Char"/>
    <w:link w:val="Heading5"/>
    <w:uiPriority w:val="9"/>
    <w:rsid w:val="001C7644"/>
    <w:rPr>
      <w:rFonts w:ascii="Tahoma" w:hAnsi="Tahoma"/>
      <w:color w:val="339966"/>
      <w:szCs w:val="22"/>
      <w:u w:val="single"/>
      <w:lang w:val="en-GB" w:eastAsia="en-US" w:bidi="ar-SA"/>
    </w:rPr>
  </w:style>
  <w:style w:type="character" w:customStyle="1" w:styleId="Heading6Char">
    <w:name w:val="Heading 6 Char"/>
    <w:link w:val="Heading6"/>
    <w:uiPriority w:val="9"/>
    <w:semiHidden/>
    <w:rsid w:val="007E7CE1"/>
    <w:rPr>
      <w:rFonts w:ascii="Tahoma" w:eastAsia="Times New Roman" w:hAnsi="Tahoma"/>
      <w:i/>
      <w:iCs/>
      <w:sz w:val="22"/>
      <w:szCs w:val="22"/>
      <w:lang w:eastAsia="en-US"/>
    </w:rPr>
  </w:style>
  <w:style w:type="character" w:customStyle="1" w:styleId="Heading7Char">
    <w:name w:val="Heading 7 Char"/>
    <w:link w:val="Heading7"/>
    <w:uiPriority w:val="9"/>
    <w:semiHidden/>
    <w:rsid w:val="007E7CE1"/>
    <w:rPr>
      <w:rFonts w:eastAsia="Times New Roman"/>
      <w:i/>
      <w:iCs/>
      <w:color w:val="404040"/>
      <w:sz w:val="22"/>
      <w:szCs w:val="22"/>
      <w:lang w:eastAsia="en-US"/>
    </w:rPr>
  </w:style>
  <w:style w:type="paragraph" w:styleId="ListNumber">
    <w:name w:val="List Number"/>
    <w:basedOn w:val="Normal"/>
    <w:uiPriority w:val="99"/>
    <w:unhideWhenUsed/>
    <w:qFormat/>
    <w:rsid w:val="001C7644"/>
    <w:pPr>
      <w:numPr>
        <w:numId w:val="8"/>
      </w:numPr>
      <w:spacing w:line="240" w:lineRule="atLeast"/>
    </w:pPr>
  </w:style>
  <w:style w:type="paragraph" w:styleId="TOC4">
    <w:name w:val="toc 4"/>
    <w:basedOn w:val="Normal"/>
    <w:next w:val="Normal"/>
    <w:uiPriority w:val="39"/>
    <w:semiHidden/>
    <w:rsid w:val="00A02498"/>
    <w:pPr>
      <w:tabs>
        <w:tab w:val="right" w:pos="9639"/>
      </w:tabs>
      <w:spacing w:after="20"/>
      <w:ind w:right="567"/>
    </w:pPr>
  </w:style>
  <w:style w:type="paragraph" w:styleId="TOC5">
    <w:name w:val="toc 5"/>
    <w:basedOn w:val="Normal"/>
    <w:next w:val="Normal"/>
    <w:uiPriority w:val="39"/>
    <w:semiHidden/>
    <w:rsid w:val="00A02498"/>
    <w:pPr>
      <w:numPr>
        <w:numId w:val="5"/>
      </w:numPr>
      <w:tabs>
        <w:tab w:val="left" w:pos="720"/>
        <w:tab w:val="right" w:pos="9639"/>
      </w:tabs>
      <w:ind w:right="567"/>
    </w:pPr>
  </w:style>
  <w:style w:type="paragraph" w:styleId="ListBullet">
    <w:name w:val="List Bullet"/>
    <w:basedOn w:val="Normal"/>
    <w:uiPriority w:val="99"/>
    <w:unhideWhenUsed/>
    <w:qFormat/>
    <w:rsid w:val="001C7644"/>
    <w:pPr>
      <w:numPr>
        <w:numId w:val="18"/>
      </w:numPr>
      <w:spacing w:line="240" w:lineRule="atLeast"/>
    </w:pPr>
  </w:style>
  <w:style w:type="paragraph" w:styleId="ListBullet2">
    <w:name w:val="List Bullet 2"/>
    <w:basedOn w:val="Normal"/>
    <w:uiPriority w:val="99"/>
    <w:unhideWhenUsed/>
    <w:qFormat/>
    <w:rsid w:val="00CA7427"/>
    <w:pPr>
      <w:numPr>
        <w:numId w:val="44"/>
      </w:numPr>
      <w:spacing w:line="240" w:lineRule="atLeast"/>
    </w:pPr>
  </w:style>
  <w:style w:type="paragraph" w:styleId="Footer">
    <w:name w:val="footer"/>
    <w:basedOn w:val="Normal"/>
    <w:link w:val="FooterChar"/>
    <w:uiPriority w:val="99"/>
    <w:semiHidden/>
    <w:rsid w:val="00FC2168"/>
    <w:pPr>
      <w:pBdr>
        <w:top w:val="single" w:sz="4" w:space="6" w:color="auto"/>
      </w:pBdr>
      <w:tabs>
        <w:tab w:val="center" w:pos="4680"/>
        <w:tab w:val="right" w:pos="9360"/>
      </w:tabs>
      <w:jc w:val="center"/>
    </w:pPr>
    <w:rPr>
      <w:b/>
      <w:sz w:val="16"/>
    </w:rPr>
  </w:style>
  <w:style w:type="character" w:customStyle="1" w:styleId="FooterChar">
    <w:name w:val="Footer Char"/>
    <w:link w:val="Footer"/>
    <w:uiPriority w:val="99"/>
    <w:semiHidden/>
    <w:rsid w:val="00FC2168"/>
    <w:rPr>
      <w:rFonts w:ascii="Tahoma" w:eastAsia="Calibri" w:hAnsi="Tahoma"/>
      <w:b/>
      <w:sz w:val="16"/>
      <w:szCs w:val="22"/>
      <w:lang w:val="en-GB" w:eastAsia="en-US" w:bidi="ar-SA"/>
    </w:rPr>
  </w:style>
  <w:style w:type="paragraph" w:styleId="Header">
    <w:name w:val="header"/>
    <w:basedOn w:val="Normal"/>
    <w:link w:val="HeaderChar"/>
    <w:uiPriority w:val="99"/>
    <w:semiHidden/>
    <w:rsid w:val="003E6F9D"/>
    <w:pPr>
      <w:pBdr>
        <w:bottom w:val="single" w:sz="4" w:space="2" w:color="auto"/>
      </w:pBdr>
      <w:tabs>
        <w:tab w:val="right" w:pos="9639"/>
      </w:tabs>
    </w:pPr>
    <w:rPr>
      <w:b/>
      <w:sz w:val="16"/>
    </w:rPr>
  </w:style>
  <w:style w:type="character" w:customStyle="1" w:styleId="HeaderChar">
    <w:name w:val="Header Char"/>
    <w:link w:val="Header"/>
    <w:uiPriority w:val="99"/>
    <w:semiHidden/>
    <w:rsid w:val="003E6F9D"/>
    <w:rPr>
      <w:rFonts w:ascii="Tahoma" w:eastAsia="Calibri" w:hAnsi="Tahoma"/>
      <w:b/>
      <w:sz w:val="16"/>
      <w:szCs w:val="22"/>
      <w:lang w:val="en-GB" w:eastAsia="en-US" w:bidi="ar-SA"/>
    </w:rPr>
  </w:style>
  <w:style w:type="character" w:styleId="PageNumber">
    <w:name w:val="page number"/>
    <w:uiPriority w:val="99"/>
    <w:semiHidden/>
    <w:unhideWhenUsed/>
    <w:rsid w:val="00F16BDE"/>
    <w:rPr>
      <w:rFonts w:ascii="Arial" w:hAnsi="Arial"/>
      <w:sz w:val="20"/>
    </w:rPr>
  </w:style>
  <w:style w:type="paragraph" w:styleId="Title">
    <w:name w:val="Title"/>
    <w:basedOn w:val="Normal"/>
    <w:next w:val="Normal"/>
    <w:link w:val="TitleChar"/>
    <w:uiPriority w:val="10"/>
    <w:qFormat/>
    <w:rsid w:val="00F3509C"/>
    <w:pPr>
      <w:spacing w:after="120"/>
      <w:jc w:val="center"/>
    </w:pPr>
    <w:rPr>
      <w:b/>
      <w:i/>
      <w:caps/>
      <w:color w:val="339966"/>
      <w:kern w:val="28"/>
      <w:szCs w:val="52"/>
    </w:rPr>
  </w:style>
  <w:style w:type="character" w:customStyle="1" w:styleId="TitleChar">
    <w:name w:val="Title Char"/>
    <w:link w:val="Title"/>
    <w:uiPriority w:val="10"/>
    <w:rsid w:val="00F3509C"/>
    <w:rPr>
      <w:rFonts w:ascii="Tahoma" w:hAnsi="Tahoma"/>
      <w:b/>
      <w:i/>
      <w:caps/>
      <w:color w:val="339966"/>
      <w:kern w:val="28"/>
      <w:szCs w:val="52"/>
      <w:lang w:val="en-GB" w:eastAsia="en-US" w:bidi="ar-SA"/>
    </w:rPr>
  </w:style>
  <w:style w:type="paragraph" w:styleId="TOC1">
    <w:name w:val="toc 1"/>
    <w:basedOn w:val="Normal"/>
    <w:next w:val="Normal"/>
    <w:uiPriority w:val="39"/>
    <w:semiHidden/>
    <w:rsid w:val="00A02498"/>
    <w:pPr>
      <w:tabs>
        <w:tab w:val="left" w:pos="720"/>
        <w:tab w:val="right" w:pos="9639"/>
      </w:tabs>
      <w:spacing w:before="200" w:after="20"/>
      <w:ind w:left="720" w:right="567" w:hanging="720"/>
    </w:pPr>
    <w:rPr>
      <w:b/>
      <w:caps/>
      <w:color w:val="339966"/>
    </w:rPr>
  </w:style>
  <w:style w:type="paragraph" w:styleId="TOC2">
    <w:name w:val="toc 2"/>
    <w:basedOn w:val="Normal"/>
    <w:next w:val="Normal"/>
    <w:uiPriority w:val="39"/>
    <w:semiHidden/>
    <w:rsid w:val="00A02498"/>
    <w:pPr>
      <w:tabs>
        <w:tab w:val="left" w:pos="1304"/>
        <w:tab w:val="right" w:pos="9639"/>
      </w:tabs>
      <w:spacing w:after="20"/>
      <w:ind w:left="1304" w:right="567" w:hanging="584"/>
    </w:pPr>
  </w:style>
  <w:style w:type="paragraph" w:styleId="TOC3">
    <w:name w:val="toc 3"/>
    <w:basedOn w:val="Normal"/>
    <w:next w:val="Normal"/>
    <w:uiPriority w:val="39"/>
    <w:semiHidden/>
    <w:rsid w:val="00A02498"/>
    <w:pPr>
      <w:tabs>
        <w:tab w:val="left" w:pos="1673"/>
        <w:tab w:val="right" w:pos="9639"/>
      </w:tabs>
      <w:spacing w:after="20"/>
      <w:ind w:left="1888" w:right="567" w:hanging="584"/>
    </w:pPr>
  </w:style>
  <w:style w:type="table" w:styleId="TableGrid">
    <w:name w:val="Table Grid"/>
    <w:basedOn w:val="TableNormal"/>
    <w:uiPriority w:val="59"/>
    <w:rsid w:val="00183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urText">
    <w:name w:val="Colour Text"/>
    <w:basedOn w:val="Normal"/>
    <w:qFormat/>
    <w:rsid w:val="00347377"/>
    <w:pPr>
      <w:ind w:left="1701"/>
    </w:pPr>
    <w:rPr>
      <w:color w:val="339966"/>
    </w:rPr>
  </w:style>
  <w:style w:type="paragraph" w:styleId="Date">
    <w:name w:val="Date"/>
    <w:basedOn w:val="Normal"/>
    <w:next w:val="Normal"/>
    <w:link w:val="DateChar"/>
    <w:uiPriority w:val="99"/>
    <w:rsid w:val="00F3509C"/>
    <w:pPr>
      <w:spacing w:after="120"/>
      <w:jc w:val="center"/>
    </w:pPr>
    <w:rPr>
      <w:b/>
      <w:color w:val="339966"/>
    </w:rPr>
  </w:style>
  <w:style w:type="character" w:customStyle="1" w:styleId="DateChar">
    <w:name w:val="Date Char"/>
    <w:link w:val="Date"/>
    <w:uiPriority w:val="99"/>
    <w:rsid w:val="00F3509C"/>
    <w:rPr>
      <w:rFonts w:ascii="Tahoma" w:eastAsia="Calibri" w:hAnsi="Tahoma"/>
      <w:b/>
      <w:color w:val="339966"/>
      <w:szCs w:val="22"/>
      <w:lang w:val="en-GB" w:eastAsia="en-US" w:bidi="ar-SA"/>
    </w:rPr>
  </w:style>
  <w:style w:type="paragraph" w:customStyle="1" w:styleId="ContentsHeading">
    <w:name w:val="Contents Heading"/>
    <w:basedOn w:val="Heading1"/>
    <w:next w:val="Normal"/>
    <w:qFormat/>
    <w:rsid w:val="00F3509C"/>
    <w:pPr>
      <w:numPr>
        <w:numId w:val="0"/>
      </w:numPr>
      <w:tabs>
        <w:tab w:val="right" w:pos="9639"/>
      </w:tabs>
    </w:pPr>
    <w:rPr>
      <w:sz w:val="20"/>
    </w:rPr>
  </w:style>
  <w:style w:type="paragraph" w:customStyle="1" w:styleId="TableHeading">
    <w:name w:val="Table Heading"/>
    <w:basedOn w:val="BodyText"/>
    <w:qFormat/>
    <w:rsid w:val="00094531"/>
    <w:pPr>
      <w:numPr>
        <w:numId w:val="7"/>
      </w:numPr>
    </w:pPr>
    <w:rPr>
      <w:b/>
      <w:u w:val="single"/>
    </w:rPr>
  </w:style>
  <w:style w:type="paragraph" w:styleId="Quote">
    <w:name w:val="Quote"/>
    <w:basedOn w:val="Normal"/>
    <w:next w:val="BodyText"/>
    <w:link w:val="QuoteChar"/>
    <w:uiPriority w:val="29"/>
    <w:qFormat/>
    <w:rsid w:val="001C7644"/>
    <w:pPr>
      <w:spacing w:after="165" w:line="240" w:lineRule="atLeast"/>
      <w:ind w:left="720"/>
      <w:jc w:val="center"/>
    </w:pPr>
    <w:rPr>
      <w:i/>
      <w:iCs/>
      <w:color w:val="339966"/>
    </w:rPr>
  </w:style>
  <w:style w:type="character" w:customStyle="1" w:styleId="QuoteChar">
    <w:name w:val="Quote Char"/>
    <w:link w:val="Quote"/>
    <w:uiPriority w:val="29"/>
    <w:rsid w:val="001C7644"/>
    <w:rPr>
      <w:rFonts w:ascii="Tahoma" w:eastAsia="Calibri" w:hAnsi="Tahoma"/>
      <w:i/>
      <w:iCs/>
      <w:color w:val="339966"/>
      <w:szCs w:val="22"/>
      <w:lang w:val="en-GB" w:eastAsia="en-US" w:bidi="ar-SA"/>
    </w:rPr>
  </w:style>
  <w:style w:type="character" w:customStyle="1" w:styleId="ColourCharacters">
    <w:name w:val="Colour Characters"/>
    <w:uiPriority w:val="1"/>
    <w:qFormat/>
    <w:rsid w:val="001C7644"/>
    <w:rPr>
      <w:color w:val="339966"/>
    </w:rPr>
  </w:style>
  <w:style w:type="paragraph" w:styleId="FootnoteText">
    <w:name w:val="footnote text"/>
    <w:basedOn w:val="Normal"/>
    <w:link w:val="FootnoteTextChar"/>
    <w:uiPriority w:val="99"/>
    <w:semiHidden/>
    <w:unhideWhenUsed/>
    <w:rsid w:val="001575D4"/>
    <w:rPr>
      <w:sz w:val="16"/>
      <w:szCs w:val="20"/>
    </w:rPr>
  </w:style>
  <w:style w:type="character" w:customStyle="1" w:styleId="FootnoteTextChar">
    <w:name w:val="Footnote Text Char"/>
    <w:link w:val="FootnoteText"/>
    <w:uiPriority w:val="99"/>
    <w:semiHidden/>
    <w:rsid w:val="001575D4"/>
    <w:rPr>
      <w:rFonts w:ascii="Tahoma" w:eastAsia="Calibri" w:hAnsi="Tahoma"/>
      <w:sz w:val="16"/>
      <w:lang w:val="en-GB" w:eastAsia="en-US" w:bidi="ar-SA"/>
    </w:rPr>
  </w:style>
  <w:style w:type="character" w:styleId="FootnoteReference">
    <w:name w:val="footnote reference"/>
    <w:uiPriority w:val="99"/>
    <w:semiHidden/>
    <w:unhideWhenUsed/>
    <w:rsid w:val="00C27A67"/>
    <w:rPr>
      <w:vertAlign w:val="superscript"/>
    </w:rPr>
  </w:style>
  <w:style w:type="paragraph" w:customStyle="1" w:styleId="TableListBullet">
    <w:name w:val="Table List Bullet"/>
    <w:basedOn w:val="BodyText"/>
    <w:qFormat/>
    <w:rsid w:val="001356F4"/>
    <w:pPr>
      <w:numPr>
        <w:numId w:val="3"/>
      </w:numPr>
      <w:spacing w:after="0"/>
      <w:jc w:val="left"/>
    </w:pPr>
  </w:style>
  <w:style w:type="paragraph" w:customStyle="1" w:styleId="TableText">
    <w:name w:val="Table Text"/>
    <w:basedOn w:val="Normal"/>
    <w:qFormat/>
    <w:rsid w:val="00CE68D2"/>
    <w:pPr>
      <w:spacing w:line="240" w:lineRule="atLeast"/>
    </w:pPr>
  </w:style>
  <w:style w:type="paragraph" w:customStyle="1" w:styleId="TableColourText">
    <w:name w:val="Table Colour Text"/>
    <w:basedOn w:val="Normal"/>
    <w:qFormat/>
    <w:rsid w:val="001C7644"/>
    <w:pPr>
      <w:spacing w:after="165" w:line="240" w:lineRule="atLeast"/>
    </w:pPr>
    <w:rPr>
      <w:color w:val="339966"/>
    </w:rPr>
  </w:style>
  <w:style w:type="paragraph" w:customStyle="1" w:styleId="AppendixTitle">
    <w:name w:val="Appendix Title"/>
    <w:basedOn w:val="Title"/>
    <w:next w:val="AppendixSubtitle"/>
    <w:qFormat/>
    <w:rsid w:val="00CA7427"/>
    <w:pPr>
      <w:numPr>
        <w:numId w:val="11"/>
      </w:numPr>
      <w:spacing w:before="5660" w:after="300"/>
      <w:ind w:left="0" w:firstLine="0"/>
    </w:pPr>
    <w:rPr>
      <w:i w:val="0"/>
      <w:sz w:val="40"/>
    </w:rPr>
  </w:style>
  <w:style w:type="paragraph" w:customStyle="1" w:styleId="AppendixSubtitle">
    <w:name w:val="Appendix Subtitle"/>
    <w:basedOn w:val="Normal"/>
    <w:next w:val="AppendixBodyText"/>
    <w:qFormat/>
    <w:rsid w:val="001C7644"/>
    <w:pPr>
      <w:numPr>
        <w:ilvl w:val="1"/>
      </w:numPr>
      <w:spacing w:after="200"/>
      <w:jc w:val="center"/>
    </w:pPr>
    <w:rPr>
      <w:rFonts w:eastAsia="Times New Roman"/>
      <w:b/>
      <w:iCs/>
      <w:color w:val="339966"/>
      <w:sz w:val="40"/>
      <w:szCs w:val="24"/>
      <w:u w:val="single"/>
    </w:rPr>
  </w:style>
  <w:style w:type="paragraph" w:customStyle="1" w:styleId="AppendixBodyText">
    <w:name w:val="Appendix Body Text"/>
    <w:basedOn w:val="BodyText"/>
    <w:rsid w:val="005069D0"/>
    <w:pPr>
      <w:ind w:left="0"/>
    </w:pPr>
  </w:style>
  <w:style w:type="paragraph" w:customStyle="1" w:styleId="AppendixHeader">
    <w:name w:val="Appendix Header"/>
    <w:basedOn w:val="Header"/>
    <w:semiHidden/>
    <w:qFormat/>
    <w:rsid w:val="00FC2168"/>
  </w:style>
  <w:style w:type="paragraph" w:customStyle="1" w:styleId="TableListNumber">
    <w:name w:val="Table List Number"/>
    <w:basedOn w:val="ListNumber"/>
    <w:rsid w:val="001356F4"/>
    <w:pPr>
      <w:numPr>
        <w:numId w:val="1"/>
      </w:numPr>
    </w:pPr>
  </w:style>
  <w:style w:type="paragraph" w:customStyle="1" w:styleId="ColumnHeading">
    <w:name w:val="Column Heading"/>
    <w:basedOn w:val="Normal"/>
    <w:rsid w:val="001356F4"/>
    <w:rPr>
      <w:b/>
      <w:color w:val="FFFFFF"/>
    </w:rPr>
  </w:style>
  <w:style w:type="paragraph" w:customStyle="1" w:styleId="RowHeading">
    <w:name w:val="Row Heading"/>
    <w:basedOn w:val="Normal"/>
    <w:rsid w:val="001356F4"/>
    <w:rPr>
      <w:b/>
      <w:color w:val="FFFFFF"/>
    </w:rPr>
  </w:style>
  <w:style w:type="character" w:styleId="Hyperlink">
    <w:name w:val="Hyperlink"/>
    <w:uiPriority w:val="99"/>
    <w:rsid w:val="006E6E18"/>
    <w:rPr>
      <w:color w:val="0000FF"/>
      <w:u w:val="single"/>
    </w:rPr>
  </w:style>
  <w:style w:type="paragraph" w:customStyle="1" w:styleId="LandscapeHeader">
    <w:name w:val="Landscape Header"/>
    <w:basedOn w:val="Header"/>
    <w:semiHidden/>
    <w:rsid w:val="009668C5"/>
    <w:pPr>
      <w:tabs>
        <w:tab w:val="clear" w:pos="9639"/>
        <w:tab w:val="right" w:pos="14572"/>
      </w:tabs>
    </w:pPr>
  </w:style>
  <w:style w:type="paragraph" w:customStyle="1" w:styleId="CoverFooter">
    <w:name w:val="Cover Footer"/>
    <w:basedOn w:val="Footer"/>
    <w:semiHidden/>
    <w:rsid w:val="00FC2168"/>
    <w:pPr>
      <w:pBdr>
        <w:top w:val="none" w:sz="0" w:space="0" w:color="auto"/>
      </w:pBdr>
    </w:pPr>
    <w:rPr>
      <w:b w:val="0"/>
    </w:rPr>
  </w:style>
  <w:style w:type="paragraph" w:customStyle="1" w:styleId="CoverText">
    <w:name w:val="Cover Text"/>
    <w:basedOn w:val="Normal"/>
    <w:rsid w:val="00F3509C"/>
    <w:pPr>
      <w:spacing w:after="120"/>
      <w:jc w:val="center"/>
    </w:pPr>
  </w:style>
  <w:style w:type="paragraph" w:customStyle="1" w:styleId="FigureHeading">
    <w:name w:val="Figure Heading"/>
    <w:basedOn w:val="TableHeading"/>
    <w:next w:val="BodyText"/>
    <w:qFormat/>
    <w:rsid w:val="00347377"/>
    <w:pPr>
      <w:numPr>
        <w:numId w:val="6"/>
      </w:numPr>
    </w:pPr>
  </w:style>
  <w:style w:type="paragraph" w:customStyle="1" w:styleId="Box1Text">
    <w:name w:val="Box 1 Text"/>
    <w:basedOn w:val="BodyText"/>
    <w:next w:val="BodyText"/>
    <w:rsid w:val="00F14930"/>
    <w:pPr>
      <w:ind w:left="0"/>
    </w:pPr>
    <w:rPr>
      <w:color w:val="339966"/>
    </w:rPr>
  </w:style>
  <w:style w:type="paragraph" w:customStyle="1" w:styleId="Box1Bullet">
    <w:name w:val="Box 1 Bullet"/>
    <w:basedOn w:val="Box1Text"/>
    <w:rsid w:val="00F14930"/>
    <w:pPr>
      <w:numPr>
        <w:numId w:val="33"/>
      </w:numPr>
    </w:pPr>
  </w:style>
  <w:style w:type="paragraph" w:customStyle="1" w:styleId="Box1Number">
    <w:name w:val="Box 1 Number"/>
    <w:basedOn w:val="Box1Text"/>
    <w:rsid w:val="00F14930"/>
    <w:pPr>
      <w:numPr>
        <w:numId w:val="34"/>
      </w:numPr>
    </w:pPr>
  </w:style>
  <w:style w:type="paragraph" w:customStyle="1" w:styleId="AppendixLandscapeHeader">
    <w:name w:val="Appendix Landscape Header"/>
    <w:basedOn w:val="AppendixHeader"/>
    <w:next w:val="Normal"/>
    <w:semiHidden/>
    <w:rsid w:val="00BC58AA"/>
    <w:pPr>
      <w:tabs>
        <w:tab w:val="clear" w:pos="9639"/>
        <w:tab w:val="right" w:pos="14572"/>
      </w:tabs>
    </w:pPr>
  </w:style>
  <w:style w:type="paragraph" w:customStyle="1" w:styleId="FirstBullet">
    <w:name w:val="First Bullet"/>
    <w:basedOn w:val="ListBullet"/>
    <w:next w:val="ListBullet"/>
    <w:qFormat/>
    <w:rsid w:val="001C7644"/>
    <w:pPr>
      <w:spacing w:before="200"/>
    </w:pPr>
  </w:style>
  <w:style w:type="paragraph" w:customStyle="1" w:styleId="Box2Text">
    <w:name w:val="Box 2 Text"/>
    <w:basedOn w:val="BodyText"/>
    <w:next w:val="BodyText"/>
    <w:rsid w:val="00F14930"/>
    <w:pPr>
      <w:ind w:left="0"/>
    </w:pPr>
    <w:rPr>
      <w:color w:val="99CC00"/>
    </w:rPr>
  </w:style>
  <w:style w:type="paragraph" w:customStyle="1" w:styleId="FirstBullet2">
    <w:name w:val="First Bullet 2"/>
    <w:basedOn w:val="ListBullet2"/>
    <w:next w:val="ListBullet2"/>
    <w:qFormat/>
    <w:rsid w:val="00347377"/>
    <w:pPr>
      <w:numPr>
        <w:numId w:val="30"/>
      </w:numPr>
      <w:spacing w:before="200"/>
    </w:pPr>
  </w:style>
  <w:style w:type="paragraph" w:customStyle="1" w:styleId="Box2Bullet">
    <w:name w:val="Box 2 Bullet"/>
    <w:basedOn w:val="Box2Text"/>
    <w:rsid w:val="00F14930"/>
    <w:pPr>
      <w:numPr>
        <w:numId w:val="35"/>
      </w:numPr>
    </w:pPr>
  </w:style>
  <w:style w:type="paragraph" w:customStyle="1" w:styleId="Box2Number">
    <w:name w:val="Box 2 Number"/>
    <w:basedOn w:val="Box2Text"/>
    <w:rsid w:val="00F14930"/>
    <w:pPr>
      <w:numPr>
        <w:numId w:val="36"/>
      </w:numPr>
    </w:pPr>
  </w:style>
  <w:style w:type="paragraph" w:customStyle="1" w:styleId="Box3Text">
    <w:name w:val="Box 3 Text"/>
    <w:basedOn w:val="BodyText"/>
    <w:next w:val="BodyText"/>
    <w:rsid w:val="00F14930"/>
    <w:pPr>
      <w:ind w:left="0"/>
    </w:pPr>
    <w:rPr>
      <w:color w:val="808080"/>
    </w:rPr>
  </w:style>
  <w:style w:type="paragraph" w:customStyle="1" w:styleId="AppendixBullet1">
    <w:name w:val="Appendix Bullet 1"/>
    <w:basedOn w:val="Normal"/>
    <w:qFormat/>
    <w:rsid w:val="00347377"/>
    <w:pPr>
      <w:numPr>
        <w:numId w:val="14"/>
      </w:numPr>
      <w:spacing w:line="240" w:lineRule="atLeast"/>
    </w:pPr>
  </w:style>
  <w:style w:type="paragraph" w:customStyle="1" w:styleId="AppendixHeading1">
    <w:name w:val="Appendix Heading 1"/>
    <w:basedOn w:val="Normal"/>
    <w:next w:val="Normal"/>
    <w:qFormat/>
    <w:rsid w:val="00347377"/>
    <w:pPr>
      <w:keepNext/>
      <w:keepLines/>
      <w:spacing w:after="200"/>
      <w:outlineLvl w:val="0"/>
    </w:pPr>
    <w:rPr>
      <w:rFonts w:eastAsia="Times New Roman"/>
      <w:b/>
      <w:bCs/>
      <w:caps/>
      <w:color w:val="339966"/>
      <w:sz w:val="22"/>
      <w:szCs w:val="28"/>
    </w:rPr>
  </w:style>
  <w:style w:type="paragraph" w:customStyle="1" w:styleId="AppendixHeading2">
    <w:name w:val="Appendix Heading 2"/>
    <w:basedOn w:val="AppendixHeading1"/>
    <w:next w:val="Normal"/>
    <w:qFormat/>
    <w:rsid w:val="00B504D0"/>
    <w:rPr>
      <w:caps w:val="0"/>
    </w:rPr>
  </w:style>
  <w:style w:type="paragraph" w:customStyle="1" w:styleId="AppendixHeading3">
    <w:name w:val="Appendix Heading 3"/>
    <w:basedOn w:val="AppendixHeading2"/>
    <w:next w:val="Normal"/>
    <w:qFormat/>
    <w:rsid w:val="00747740"/>
    <w:rPr>
      <w:sz w:val="20"/>
    </w:rPr>
  </w:style>
  <w:style w:type="paragraph" w:customStyle="1" w:styleId="AppendixHeading4">
    <w:name w:val="Appendix Heading 4"/>
    <w:basedOn w:val="AppendixHeading3"/>
    <w:next w:val="Normal"/>
    <w:qFormat/>
    <w:rsid w:val="00B504D0"/>
    <w:pPr>
      <w:spacing w:after="0"/>
    </w:pPr>
    <w:rPr>
      <w:i/>
    </w:rPr>
  </w:style>
  <w:style w:type="paragraph" w:customStyle="1" w:styleId="AppendixNumber1">
    <w:name w:val="Appendix Number 1"/>
    <w:basedOn w:val="Normal"/>
    <w:qFormat/>
    <w:rsid w:val="00347377"/>
    <w:pPr>
      <w:numPr>
        <w:numId w:val="10"/>
      </w:numPr>
      <w:spacing w:line="240" w:lineRule="atLeast"/>
    </w:pPr>
  </w:style>
  <w:style w:type="paragraph" w:customStyle="1" w:styleId="AppendixFirstBullet">
    <w:name w:val="Appendix First Bullet"/>
    <w:basedOn w:val="AppendixBullet1"/>
    <w:next w:val="AppendixBullet1"/>
    <w:rsid w:val="001C7644"/>
    <w:pPr>
      <w:numPr>
        <w:numId w:val="9"/>
      </w:numPr>
      <w:spacing w:before="200"/>
    </w:pPr>
  </w:style>
  <w:style w:type="paragraph" w:customStyle="1" w:styleId="Box3Bullet">
    <w:name w:val="Box 3 Bullet"/>
    <w:basedOn w:val="Box3Text"/>
    <w:rsid w:val="00F14930"/>
    <w:pPr>
      <w:numPr>
        <w:numId w:val="37"/>
      </w:numPr>
    </w:pPr>
  </w:style>
  <w:style w:type="paragraph" w:customStyle="1" w:styleId="Box3Number">
    <w:name w:val="Box 3 Number"/>
    <w:basedOn w:val="Box3Text"/>
    <w:rsid w:val="00F14930"/>
    <w:pPr>
      <w:numPr>
        <w:numId w:val="38"/>
      </w:numPr>
    </w:pPr>
  </w:style>
  <w:style w:type="paragraph" w:customStyle="1" w:styleId="CVBullet">
    <w:name w:val="CV Bullet"/>
    <w:basedOn w:val="Normal"/>
    <w:rsid w:val="002455B1"/>
    <w:pPr>
      <w:numPr>
        <w:numId w:val="45"/>
      </w:numPr>
    </w:pPr>
  </w:style>
  <w:style w:type="paragraph" w:customStyle="1" w:styleId="CVHeading1">
    <w:name w:val="CV Heading 1"/>
    <w:basedOn w:val="Normal"/>
    <w:next w:val="Normal"/>
    <w:rsid w:val="002455B1"/>
    <w:pPr>
      <w:jc w:val="center"/>
    </w:pPr>
    <w:rPr>
      <w:b/>
      <w:caps/>
      <w:color w:val="339966"/>
    </w:rPr>
  </w:style>
  <w:style w:type="paragraph" w:customStyle="1" w:styleId="CVHeading2">
    <w:name w:val="CV Heading 2"/>
    <w:basedOn w:val="Normal"/>
    <w:next w:val="Normal"/>
    <w:rsid w:val="002455B1"/>
    <w:pPr>
      <w:jc w:val="center"/>
    </w:pPr>
    <w:rPr>
      <w:b/>
      <w:i/>
      <w:color w:val="339966"/>
    </w:rPr>
  </w:style>
  <w:style w:type="paragraph" w:customStyle="1" w:styleId="CVHeading3">
    <w:name w:val="CV Heading 3"/>
    <w:basedOn w:val="Normal"/>
    <w:next w:val="Normal"/>
    <w:rsid w:val="002455B1"/>
    <w:rPr>
      <w:b/>
      <w:caps/>
      <w:color w:val="339966"/>
    </w:rPr>
  </w:style>
  <w:style w:type="paragraph" w:customStyle="1" w:styleId="CVHeading4">
    <w:name w:val="CV Heading 4"/>
    <w:basedOn w:val="Normal"/>
    <w:next w:val="CVBullet"/>
    <w:rsid w:val="002455B1"/>
    <w:rPr>
      <w:b/>
      <w:i/>
      <w:color w:val="339966"/>
    </w:rPr>
  </w:style>
  <w:style w:type="paragraph" w:styleId="NormalWeb">
    <w:name w:val="Normal (Web)"/>
    <w:basedOn w:val="Normal"/>
    <w:semiHidden/>
    <w:unhideWhenUsed/>
    <w:rsid w:val="00F24078"/>
    <w:pPr>
      <w:spacing w:before="100" w:beforeAutospacing="1" w:after="100" w:afterAutospacing="1"/>
      <w:jc w:val="left"/>
    </w:pPr>
    <w:rPr>
      <w:rFonts w:ascii="Arial Unicode MS" w:eastAsia="Arial Unicode MS" w:hAnsi="Arial Unicode MS" w:cs="Arial Unicode MS"/>
      <w:sz w:val="24"/>
      <w:szCs w:val="24"/>
    </w:rPr>
  </w:style>
  <w:style w:type="character" w:styleId="UnresolvedMention">
    <w:name w:val="Unresolved Mention"/>
    <w:basedOn w:val="DefaultParagraphFont"/>
    <w:uiPriority w:val="99"/>
    <w:semiHidden/>
    <w:unhideWhenUsed/>
    <w:rsid w:val="00F24078"/>
    <w:rPr>
      <w:color w:val="808080"/>
      <w:shd w:val="clear" w:color="auto" w:fill="E6E6E6"/>
    </w:rPr>
  </w:style>
  <w:style w:type="paragraph" w:styleId="BalloonText">
    <w:name w:val="Balloon Text"/>
    <w:basedOn w:val="Normal"/>
    <w:link w:val="BalloonTextChar"/>
    <w:uiPriority w:val="99"/>
    <w:semiHidden/>
    <w:unhideWhenUsed/>
    <w:rsid w:val="00A64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03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5430">
      <w:bodyDiv w:val="1"/>
      <w:marLeft w:val="0"/>
      <w:marRight w:val="0"/>
      <w:marTop w:val="0"/>
      <w:marBottom w:val="0"/>
      <w:divBdr>
        <w:top w:val="none" w:sz="0" w:space="0" w:color="auto"/>
        <w:left w:val="none" w:sz="0" w:space="0" w:color="auto"/>
        <w:bottom w:val="none" w:sz="0" w:space="0" w:color="auto"/>
        <w:right w:val="none" w:sz="0" w:space="0" w:color="auto"/>
      </w:divBdr>
    </w:div>
    <w:div w:id="893005318">
      <w:bodyDiv w:val="1"/>
      <w:marLeft w:val="0"/>
      <w:marRight w:val="0"/>
      <w:marTop w:val="0"/>
      <w:marBottom w:val="0"/>
      <w:divBdr>
        <w:top w:val="none" w:sz="0" w:space="0" w:color="auto"/>
        <w:left w:val="none" w:sz="0" w:space="0" w:color="auto"/>
        <w:bottom w:val="none" w:sz="0" w:space="0" w:color="auto"/>
        <w:right w:val="none" w:sz="0" w:space="0" w:color="auto"/>
      </w:divBdr>
    </w:div>
    <w:div w:id="1014722471">
      <w:bodyDiv w:val="1"/>
      <w:marLeft w:val="0"/>
      <w:marRight w:val="0"/>
      <w:marTop w:val="0"/>
      <w:marBottom w:val="0"/>
      <w:divBdr>
        <w:top w:val="none" w:sz="0" w:space="0" w:color="auto"/>
        <w:left w:val="none" w:sz="0" w:space="0" w:color="auto"/>
        <w:bottom w:val="none" w:sz="0" w:space="0" w:color="auto"/>
        <w:right w:val="none" w:sz="0" w:space="0" w:color="auto"/>
      </w:divBdr>
    </w:div>
    <w:div w:id="1239897142">
      <w:bodyDiv w:val="1"/>
      <w:marLeft w:val="0"/>
      <w:marRight w:val="0"/>
      <w:marTop w:val="0"/>
      <w:marBottom w:val="0"/>
      <w:divBdr>
        <w:top w:val="none" w:sz="0" w:space="0" w:color="auto"/>
        <w:left w:val="none" w:sz="0" w:space="0" w:color="auto"/>
        <w:bottom w:val="none" w:sz="0" w:space="0" w:color="auto"/>
        <w:right w:val="none" w:sz="0" w:space="0" w:color="auto"/>
      </w:divBdr>
    </w:div>
    <w:div w:id="1679112068">
      <w:bodyDiv w:val="1"/>
      <w:marLeft w:val="0"/>
      <w:marRight w:val="0"/>
      <w:marTop w:val="0"/>
      <w:marBottom w:val="0"/>
      <w:divBdr>
        <w:top w:val="none" w:sz="0" w:space="0" w:color="auto"/>
        <w:left w:val="none" w:sz="0" w:space="0" w:color="auto"/>
        <w:bottom w:val="none" w:sz="0" w:space="0" w:color="auto"/>
        <w:right w:val="none" w:sz="0" w:space="0" w:color="auto"/>
      </w:divBdr>
    </w:div>
    <w:div w:id="1869756013">
      <w:bodyDiv w:val="1"/>
      <w:marLeft w:val="0"/>
      <w:marRight w:val="0"/>
      <w:marTop w:val="0"/>
      <w:marBottom w:val="0"/>
      <w:divBdr>
        <w:top w:val="none" w:sz="0" w:space="0" w:color="auto"/>
        <w:left w:val="none" w:sz="0" w:space="0" w:color="auto"/>
        <w:bottom w:val="none" w:sz="0" w:space="0" w:color="auto"/>
        <w:right w:val="none" w:sz="0" w:space="0" w:color="auto"/>
      </w:divBdr>
    </w:div>
    <w:div w:id="1945838603">
      <w:bodyDiv w:val="1"/>
      <w:marLeft w:val="0"/>
      <w:marRight w:val="0"/>
      <w:marTop w:val="0"/>
      <w:marBottom w:val="0"/>
      <w:divBdr>
        <w:top w:val="none" w:sz="0" w:space="0" w:color="auto"/>
        <w:left w:val="none" w:sz="0" w:space="0" w:color="auto"/>
        <w:bottom w:val="none" w:sz="0" w:space="0" w:color="auto"/>
        <w:right w:val="none" w:sz="0" w:space="0" w:color="auto"/>
      </w:divBdr>
    </w:div>
    <w:div w:id="20391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les.org.uk/wp-content/uploads/2016/10/Forging-a-good-local-society3.pdf"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les.org.uk/wp-content/uploads/2016/12/Good-City-Economies-Report.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es.org.uk/wp-content/uploads/2017/05/What-Needs-to-be-Done_The-Manifesto-for-Local-Economics.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les.org.uk/wp-content/uploads/2017/02/The-Power-of-Procurement-II-the-policy-and-practice-of-Manchester-City-Council-10-years-on_web-versio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es.org.uk/wp-content/uploads/2017/02/Community-Wealth-Building-through-Anchor-Institutions_01_02_17.pdf" TargetMode="External"/><Relationship Id="rId14" Type="http://schemas.openxmlformats.org/officeDocument/2006/relationships/hyperlink" Target="http://urbact.eu/proc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jackson\Desktop\Updated%202014%20templates\CLES%20Proposal%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CLES Proposal 2014</Template>
  <TotalTime>0</TotalTime>
  <Pages>6</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Date</vt:lpstr>
    </vt:vector>
  </TitlesOfParts>
  <Company>CLES</Company>
  <LinksUpToDate>false</LinksUpToDate>
  <CharactersWithSpaces>18655</CharactersWithSpaces>
  <SharedDoc>false</SharedDoc>
  <HLinks>
    <vt:vector size="54" baseType="variant">
      <vt:variant>
        <vt:i4>1835061</vt:i4>
      </vt:variant>
      <vt:variant>
        <vt:i4>50</vt:i4>
      </vt:variant>
      <vt:variant>
        <vt:i4>0</vt:i4>
      </vt:variant>
      <vt:variant>
        <vt:i4>5</vt:i4>
      </vt:variant>
      <vt:variant>
        <vt:lpwstr/>
      </vt:variant>
      <vt:variant>
        <vt:lpwstr>_Toc243976305</vt:lpwstr>
      </vt:variant>
      <vt:variant>
        <vt:i4>1835061</vt:i4>
      </vt:variant>
      <vt:variant>
        <vt:i4>44</vt:i4>
      </vt:variant>
      <vt:variant>
        <vt:i4>0</vt:i4>
      </vt:variant>
      <vt:variant>
        <vt:i4>5</vt:i4>
      </vt:variant>
      <vt:variant>
        <vt:lpwstr/>
      </vt:variant>
      <vt:variant>
        <vt:lpwstr>_Toc243976304</vt:lpwstr>
      </vt:variant>
      <vt:variant>
        <vt:i4>1835061</vt:i4>
      </vt:variant>
      <vt:variant>
        <vt:i4>38</vt:i4>
      </vt:variant>
      <vt:variant>
        <vt:i4>0</vt:i4>
      </vt:variant>
      <vt:variant>
        <vt:i4>5</vt:i4>
      </vt:variant>
      <vt:variant>
        <vt:lpwstr/>
      </vt:variant>
      <vt:variant>
        <vt:lpwstr>_Toc243976303</vt:lpwstr>
      </vt:variant>
      <vt:variant>
        <vt:i4>1835061</vt:i4>
      </vt:variant>
      <vt:variant>
        <vt:i4>32</vt:i4>
      </vt:variant>
      <vt:variant>
        <vt:i4>0</vt:i4>
      </vt:variant>
      <vt:variant>
        <vt:i4>5</vt:i4>
      </vt:variant>
      <vt:variant>
        <vt:lpwstr/>
      </vt:variant>
      <vt:variant>
        <vt:lpwstr>_Toc243976302</vt:lpwstr>
      </vt:variant>
      <vt:variant>
        <vt:i4>1835061</vt:i4>
      </vt:variant>
      <vt:variant>
        <vt:i4>26</vt:i4>
      </vt:variant>
      <vt:variant>
        <vt:i4>0</vt:i4>
      </vt:variant>
      <vt:variant>
        <vt:i4>5</vt:i4>
      </vt:variant>
      <vt:variant>
        <vt:lpwstr/>
      </vt:variant>
      <vt:variant>
        <vt:lpwstr>_Toc243976301</vt:lpwstr>
      </vt:variant>
      <vt:variant>
        <vt:i4>1835061</vt:i4>
      </vt:variant>
      <vt:variant>
        <vt:i4>20</vt:i4>
      </vt:variant>
      <vt:variant>
        <vt:i4>0</vt:i4>
      </vt:variant>
      <vt:variant>
        <vt:i4>5</vt:i4>
      </vt:variant>
      <vt:variant>
        <vt:lpwstr/>
      </vt:variant>
      <vt:variant>
        <vt:lpwstr>_Toc243976300</vt:lpwstr>
      </vt:variant>
      <vt:variant>
        <vt:i4>1376308</vt:i4>
      </vt:variant>
      <vt:variant>
        <vt:i4>14</vt:i4>
      </vt:variant>
      <vt:variant>
        <vt:i4>0</vt:i4>
      </vt:variant>
      <vt:variant>
        <vt:i4>5</vt:i4>
      </vt:variant>
      <vt:variant>
        <vt:lpwstr/>
      </vt:variant>
      <vt:variant>
        <vt:lpwstr>_Toc243976299</vt:lpwstr>
      </vt:variant>
      <vt:variant>
        <vt:i4>1376308</vt:i4>
      </vt:variant>
      <vt:variant>
        <vt:i4>8</vt:i4>
      </vt:variant>
      <vt:variant>
        <vt:i4>0</vt:i4>
      </vt:variant>
      <vt:variant>
        <vt:i4>5</vt:i4>
      </vt:variant>
      <vt:variant>
        <vt:lpwstr/>
      </vt:variant>
      <vt:variant>
        <vt:lpwstr>_Toc243976298</vt:lpwstr>
      </vt:variant>
      <vt:variant>
        <vt:i4>1376308</vt:i4>
      </vt:variant>
      <vt:variant>
        <vt:i4>2</vt:i4>
      </vt:variant>
      <vt:variant>
        <vt:i4>0</vt:i4>
      </vt:variant>
      <vt:variant>
        <vt:i4>5</vt:i4>
      </vt:variant>
      <vt:variant>
        <vt:lpwstr/>
      </vt:variant>
      <vt:variant>
        <vt:lpwstr>_Toc243976297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matthewjackson</dc:creator>
  <cp:keywords/>
  <cp:lastModifiedBy>Matthew Jackson</cp:lastModifiedBy>
  <cp:revision>3</cp:revision>
  <cp:lastPrinted>2017-07-11T12:20:00Z</cp:lastPrinted>
  <dcterms:created xsi:type="dcterms:W3CDTF">2017-10-23T12:00:00Z</dcterms:created>
  <dcterms:modified xsi:type="dcterms:W3CDTF">2017-10-23T12:00:00Z</dcterms:modified>
</cp:coreProperties>
</file>